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A605F">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1026" o:spt="202" type="#_x0000_t202" style="position:absolute;left:0pt;margin-left:45.7pt;margin-top:-3.3pt;height:46.8pt;width:294.8pt;z-index:251659264;mso-width-relative:margin;mso-height-relative:margin;"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path/>
            <v:fill focussize="0,0"/>
            <v:stroke color="#FFFFFF" joinstyle="miter"/>
            <v:imagedata o:title=""/>
            <o:lock v:ext="edit"/>
            <v:textbox>
              <w:txbxContent>
                <w:p w14:paraId="6BBC7B2D">
                  <w:pPr>
                    <w:spacing w:line="400" w:lineRule="exact"/>
                    <w:rPr>
                      <w:rFonts w:ascii="仿宋_GB2312" w:eastAsia="仿宋_GB2312"/>
                      <w:b/>
                      <w:sz w:val="26"/>
                      <w:szCs w:val="26"/>
                    </w:rPr>
                  </w:pPr>
                  <w:r>
                    <w:rPr>
                      <w:rFonts w:hint="eastAsia" w:ascii="仿宋_GB2312" w:eastAsia="仿宋_GB2312"/>
                      <w:b/>
                      <w:sz w:val="26"/>
                      <w:szCs w:val="26"/>
                    </w:rPr>
                    <w:t>深 圳 市 中 正 招 标 有 限 公 司</w:t>
                  </w:r>
                </w:p>
                <w:p w14:paraId="05D45D6A">
                  <w:pPr>
                    <w:spacing w:line="400" w:lineRule="exact"/>
                    <w:rPr>
                      <w:rFonts w:ascii="仿宋_GB2312" w:eastAsia="仿宋_GB2312"/>
                      <w:sz w:val="22"/>
                    </w:rPr>
                  </w:pPr>
                  <w:r>
                    <w:rPr>
                      <w:rFonts w:hint="eastAsia" w:ascii="仿宋_GB2312" w:eastAsia="仿宋_GB2312"/>
                      <w:sz w:val="22"/>
                    </w:rPr>
                    <w:t>SHENZHEN ZHONGZHENG TENDERING CO.,LTD.</w:t>
                  </w:r>
                </w:p>
              </w:txbxContent>
            </v:textbox>
          </v:shape>
        </w:pict>
      </w:r>
      <w:r>
        <w:rPr>
          <w:b/>
          <w:kern w:val="0"/>
          <w:sz w:val="28"/>
          <w:szCs w:val="28"/>
        </w:rPr>
        <w:drawing>
          <wp:inline distT="0" distB="0" distL="0" distR="0">
            <wp:extent cx="552450" cy="476250"/>
            <wp:effectExtent l="57150" t="19050" r="190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552450" cy="476250"/>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338BA1EE">
      <w:pPr>
        <w:ind w:left="682" w:leftChars="-203" w:hanging="1108" w:hangingChars="154"/>
        <w:rPr>
          <w:sz w:val="72"/>
          <w:szCs w:val="72"/>
        </w:rPr>
      </w:pPr>
    </w:p>
    <w:p w14:paraId="21FA7457">
      <w:pPr>
        <w:adjustRightInd w:val="0"/>
        <w:snapToGrid w:val="0"/>
        <w:spacing w:line="300" w:lineRule="auto"/>
        <w:jc w:val="left"/>
        <w:rPr>
          <w:b/>
          <w:bCs/>
          <w:snapToGrid w:val="0"/>
          <w:kern w:val="0"/>
          <w:sz w:val="28"/>
          <w:szCs w:val="28"/>
        </w:rPr>
      </w:pPr>
    </w:p>
    <w:p w14:paraId="58B100BD">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158AAC9C">
      <w:pPr>
        <w:adjustRightInd w:val="0"/>
        <w:snapToGrid w:val="0"/>
        <w:spacing w:line="300" w:lineRule="auto"/>
        <w:jc w:val="left"/>
        <w:rPr>
          <w:b/>
          <w:bCs/>
          <w:snapToGrid w:val="0"/>
          <w:kern w:val="0"/>
          <w:sz w:val="28"/>
          <w:szCs w:val="28"/>
        </w:rPr>
      </w:pPr>
    </w:p>
    <w:p w14:paraId="13439BC7">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层流净化空调维保服务项目</w:t>
      </w:r>
    </w:p>
    <w:p w14:paraId="7F9EF994">
      <w:pPr>
        <w:adjustRightInd w:val="0"/>
        <w:snapToGrid w:val="0"/>
        <w:spacing w:line="300" w:lineRule="auto"/>
        <w:jc w:val="center"/>
        <w:rPr>
          <w:rFonts w:asciiTheme="minorEastAsia" w:hAnsiTheme="minorEastAsia" w:eastAsiaTheme="minorEastAsia"/>
          <w:b/>
          <w:snapToGrid w:val="0"/>
          <w:kern w:val="0"/>
          <w:sz w:val="44"/>
          <w:szCs w:val="44"/>
        </w:rPr>
      </w:pPr>
    </w:p>
    <w:p w14:paraId="1DE5DEBA">
      <w:pPr>
        <w:adjustRightInd w:val="0"/>
        <w:snapToGrid w:val="0"/>
        <w:spacing w:line="300" w:lineRule="auto"/>
        <w:jc w:val="center"/>
        <w:rPr>
          <w:rFonts w:asciiTheme="minorEastAsia" w:hAnsiTheme="minorEastAsia" w:eastAsiaTheme="minorEastAsia"/>
          <w:b/>
          <w:snapToGrid w:val="0"/>
          <w:kern w:val="0"/>
          <w:sz w:val="44"/>
          <w:szCs w:val="44"/>
        </w:rPr>
      </w:pPr>
    </w:p>
    <w:p w14:paraId="1E9989D0">
      <w:pPr>
        <w:adjustRightInd w:val="0"/>
        <w:snapToGrid w:val="0"/>
        <w:spacing w:line="300" w:lineRule="auto"/>
        <w:jc w:val="center"/>
        <w:rPr>
          <w:rFonts w:asciiTheme="minorEastAsia" w:hAnsiTheme="minorEastAsia" w:eastAsiaTheme="minorEastAsia"/>
          <w:b/>
          <w:snapToGrid w:val="0"/>
          <w:kern w:val="0"/>
          <w:sz w:val="44"/>
          <w:szCs w:val="44"/>
        </w:rPr>
      </w:pPr>
    </w:p>
    <w:p w14:paraId="471D0CF8">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39E12D2F">
      <w:pPr>
        <w:adjustRightInd w:val="0"/>
        <w:snapToGrid w:val="0"/>
        <w:spacing w:line="300" w:lineRule="auto"/>
        <w:jc w:val="center"/>
        <w:rPr>
          <w:rFonts w:asciiTheme="minorEastAsia" w:hAnsiTheme="minorEastAsia" w:eastAsiaTheme="minorEastAsia"/>
          <w:b/>
          <w:snapToGrid w:val="0"/>
          <w:kern w:val="0"/>
          <w:sz w:val="32"/>
        </w:rPr>
      </w:pPr>
    </w:p>
    <w:p w14:paraId="47ED21A3">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SZDL2025001517</w:t>
      </w:r>
    </w:p>
    <w:p w14:paraId="77DF31E0">
      <w:pPr>
        <w:adjustRightInd w:val="0"/>
        <w:snapToGrid w:val="0"/>
        <w:spacing w:line="300" w:lineRule="auto"/>
        <w:jc w:val="center"/>
        <w:rPr>
          <w:rFonts w:asciiTheme="minorEastAsia" w:hAnsiTheme="minorEastAsia" w:eastAsiaTheme="minorEastAsia"/>
          <w:b/>
          <w:snapToGrid w:val="0"/>
          <w:kern w:val="0"/>
          <w:sz w:val="18"/>
          <w:szCs w:val="18"/>
        </w:rPr>
      </w:pPr>
    </w:p>
    <w:p w14:paraId="65809DE7">
      <w:pPr>
        <w:adjustRightInd w:val="0"/>
        <w:snapToGrid w:val="0"/>
        <w:spacing w:line="300" w:lineRule="auto"/>
        <w:jc w:val="center"/>
        <w:rPr>
          <w:rFonts w:asciiTheme="minorEastAsia" w:hAnsiTheme="minorEastAsia" w:eastAsiaTheme="minorEastAsia"/>
          <w:b/>
          <w:snapToGrid w:val="0"/>
          <w:kern w:val="0"/>
          <w:sz w:val="44"/>
        </w:rPr>
      </w:pPr>
    </w:p>
    <w:p w14:paraId="76DF2933">
      <w:pPr>
        <w:adjustRightInd w:val="0"/>
        <w:snapToGrid w:val="0"/>
        <w:spacing w:line="300" w:lineRule="auto"/>
        <w:jc w:val="center"/>
        <w:rPr>
          <w:rFonts w:asciiTheme="minorEastAsia" w:hAnsiTheme="minorEastAsia" w:eastAsiaTheme="minorEastAsia"/>
          <w:b/>
          <w:snapToGrid w:val="0"/>
          <w:kern w:val="0"/>
          <w:sz w:val="44"/>
        </w:rPr>
      </w:pPr>
      <w:r>
        <w:rPr>
          <w:rFonts w:asciiTheme="minorEastAsia" w:hAnsiTheme="minorEastAsia" w:eastAsiaTheme="minorEastAsia"/>
          <w:b/>
          <w:snapToGrid w:val="0"/>
          <w:kern w:val="0"/>
          <w:sz w:val="44"/>
        </w:rPr>
        <w:t xml:space="preserve"> </w:t>
      </w:r>
    </w:p>
    <w:p w14:paraId="1F0F0607">
      <w:pPr>
        <w:pStyle w:val="25"/>
        <w:adjustRightInd w:val="0"/>
        <w:snapToGrid w:val="0"/>
        <w:spacing w:line="300" w:lineRule="auto"/>
        <w:jc w:val="center"/>
        <w:rPr>
          <w:rFonts w:asciiTheme="minorEastAsia" w:hAnsiTheme="minorEastAsia" w:eastAsiaTheme="minorEastAsia"/>
          <w:b/>
          <w:snapToGrid w:val="0"/>
          <w:sz w:val="30"/>
        </w:rPr>
      </w:pPr>
    </w:p>
    <w:p w14:paraId="1D9C4EDA">
      <w:pPr>
        <w:rPr>
          <w:rFonts w:asciiTheme="minorEastAsia" w:hAnsiTheme="minorEastAsia" w:eastAsiaTheme="minorEastAsia"/>
        </w:rPr>
      </w:pPr>
    </w:p>
    <w:p w14:paraId="1F9D48D5">
      <w:pPr>
        <w:rPr>
          <w:rFonts w:asciiTheme="minorEastAsia" w:hAnsiTheme="minorEastAsia" w:eastAsiaTheme="minorEastAsia"/>
        </w:rPr>
      </w:pPr>
    </w:p>
    <w:p w14:paraId="29103400">
      <w:pPr>
        <w:rPr>
          <w:rFonts w:asciiTheme="minorEastAsia" w:hAnsiTheme="minorEastAsia" w:eastAsiaTheme="minorEastAsia"/>
        </w:rPr>
      </w:pPr>
    </w:p>
    <w:p w14:paraId="09857ACA">
      <w:pPr>
        <w:rPr>
          <w:rFonts w:asciiTheme="minorEastAsia" w:hAnsiTheme="minorEastAsia" w:eastAsiaTheme="minorEastAsia"/>
        </w:rPr>
      </w:pPr>
    </w:p>
    <w:p w14:paraId="2FAE83D3">
      <w:pPr>
        <w:pStyle w:val="25"/>
        <w:adjustRightInd w:val="0"/>
        <w:snapToGrid w:val="0"/>
        <w:spacing w:line="300" w:lineRule="auto"/>
        <w:jc w:val="center"/>
        <w:rPr>
          <w:rFonts w:asciiTheme="minorEastAsia" w:hAnsiTheme="minorEastAsia" w:eastAsiaTheme="minorEastAsia"/>
        </w:rPr>
      </w:pPr>
      <w:r>
        <w:rPr>
          <w:rFonts w:hint="eastAsia" w:asciiTheme="minorEastAsia" w:hAnsiTheme="minorEastAsia" w:eastAsiaTheme="minorEastAsia"/>
          <w:b/>
          <w:snapToGrid w:val="0"/>
          <w:sz w:val="30"/>
        </w:rPr>
        <w:t>二〇二五年九月</w:t>
      </w:r>
    </w:p>
    <w:p w14:paraId="0EFF6609">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57F7518D">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3CB1C01">
      <w:pPr>
        <w:spacing w:line="360" w:lineRule="auto"/>
        <w:ind w:firstLine="480" w:firstLineChars="200"/>
        <w:rPr>
          <w:rFonts w:ascii="仿宋" w:hAnsi="仿宋" w:eastAsia="仿宋"/>
          <w:sz w:val="24"/>
        </w:rPr>
      </w:pPr>
    </w:p>
    <w:p w14:paraId="5E15A386">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一、《深圳经济特区政府采购条例》</w:t>
      </w:r>
    </w:p>
    <w:p w14:paraId="6A51DF24">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第五十七条</w:t>
      </w:r>
      <w:r>
        <w:rPr>
          <w:rFonts w:asciiTheme="minorEastAsia" w:hAnsiTheme="minorEastAsia" w:eastAsiaTheme="minorEastAsia"/>
          <w:szCs w:val="21"/>
        </w:rPr>
        <w:t xml:space="preserve"> </w:t>
      </w:r>
      <w:r>
        <w:rPr>
          <w:rFonts w:hint="eastAsia" w:asciiTheme="minorEastAsia" w:hAnsiTheme="minorEastAsia" w:eastAsiaTheme="minorEastAsia"/>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BAF0FB">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（一）在采购活动中应当回避而未回避的；</w:t>
      </w:r>
    </w:p>
    <w:p w14:paraId="294A216B">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（二）未按本条例规定签订、履行采购合同，造成严重后果的；</w:t>
      </w:r>
    </w:p>
    <w:p w14:paraId="64D788C6">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（三）隐瞒真实情况，提供虚假资料的；</w:t>
      </w:r>
    </w:p>
    <w:p w14:paraId="694610E8">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（四）以非法手段排斥其他供应商参与竞争的；</w:t>
      </w:r>
    </w:p>
    <w:p w14:paraId="2118D256">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（五）与其他采购参加人串通投标的；</w:t>
      </w:r>
    </w:p>
    <w:p w14:paraId="5556CD5A">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（六）恶意投诉的；</w:t>
      </w:r>
    </w:p>
    <w:p w14:paraId="35EA48E8">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（七）向采购项目相关人行贿或者提供其他不当利益的；</w:t>
      </w:r>
    </w:p>
    <w:p w14:paraId="5189471D">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（八）阻碍、抗拒主管部门监督检查的；</w:t>
      </w:r>
    </w:p>
    <w:p w14:paraId="3BBABDE8">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（九）其他违反本条例规定的行为。</w:t>
      </w:r>
    </w:p>
    <w:p w14:paraId="351E4A27">
      <w:pPr>
        <w:widowControl/>
        <w:spacing w:after="120"/>
        <w:jc w:val="left"/>
        <w:rPr>
          <w:rFonts w:ascii="Times New Roman" w:hAnsi="Times New Roman" w:eastAsiaTheme="minorEastAsia"/>
          <w:kern w:val="0"/>
          <w:sz w:val="24"/>
          <w:szCs w:val="24"/>
        </w:rPr>
      </w:pPr>
    </w:p>
    <w:p w14:paraId="5A7696B1">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二、《深圳经济特区政府采购条例实施细则》</w:t>
      </w:r>
    </w:p>
    <w:p w14:paraId="66B7BB05">
      <w:pPr>
        <w:spacing w:line="440" w:lineRule="exact"/>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第七十五条 供应商有下列情形的，属于采购条例所称的串通投标行为，按照采购条例第五十七条有关规定处理：</w:t>
      </w:r>
    </w:p>
    <w:p w14:paraId="2A365839">
      <w:pPr>
        <w:spacing w:line="440" w:lineRule="exact"/>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（一）投标供应商之间相互约定给予未中标的供应商利益补偿；</w:t>
      </w:r>
    </w:p>
    <w:p w14:paraId="738E96C6">
      <w:pPr>
        <w:spacing w:line="440" w:lineRule="exact"/>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 xml:space="preserve">（二）不同投标供应商的法定代表人、主要经营负责人、项目投标授权代表人、项目负责人、主要技术人员为同一人、属同一单位或者在同一单位缴纳社会保险；          </w:t>
      </w:r>
    </w:p>
    <w:p w14:paraId="014A5286">
      <w:pPr>
        <w:spacing w:line="440" w:lineRule="exact"/>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（三）不同投标供应商的投标文件由同一单位或者同一人编制，或者由同一人分阶段参与编制的；</w:t>
      </w:r>
    </w:p>
    <w:p w14:paraId="418205C5">
      <w:pPr>
        <w:spacing w:line="440" w:lineRule="exact"/>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（四）不同投标供应商的投标文件或部分投标文件相互混装；</w:t>
      </w:r>
    </w:p>
    <w:p w14:paraId="72349AE4">
      <w:pPr>
        <w:spacing w:line="440" w:lineRule="exact"/>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（五）不同投标供应商的投标文件内容存在非正常一致；</w:t>
      </w:r>
    </w:p>
    <w:p w14:paraId="56AFE704">
      <w:pPr>
        <w:spacing w:line="440" w:lineRule="exact"/>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（六）由同一单位工作人员为两家以上（含两家）供应商进行同一项投标活动的；</w:t>
      </w:r>
    </w:p>
    <w:p w14:paraId="124A17EA">
      <w:pPr>
        <w:spacing w:line="440" w:lineRule="exact"/>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（七）主管部门依照法律、法规认定的其他情形。</w:t>
      </w:r>
    </w:p>
    <w:p w14:paraId="2C3604F1">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第七十七条 供应商有下列情形之一的，属于隐瞒真实情况，提供虚假资料，按照采购条例第五十七的有关规定处理：</w:t>
      </w:r>
    </w:p>
    <w:p w14:paraId="20CBF518">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（一）通过转让或者租借等方式从其他单位获取资格或者资质证书投标的；</w:t>
      </w:r>
    </w:p>
    <w:p w14:paraId="7E01E1DA">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（二）由其他单位或者其他单位负责人在投标供应商编制的投标文件上加盖印章或者签字的；</w:t>
      </w:r>
    </w:p>
    <w:p w14:paraId="44C057C3">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（三）项目负责人或者主要技术人员不是本单位人员的；</w:t>
      </w:r>
    </w:p>
    <w:p w14:paraId="0939EB52">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（四）投标保证金不是从投标供应商基本账户转出的；</w:t>
      </w:r>
    </w:p>
    <w:p w14:paraId="2E16A370">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（五）其他隐瞒真实情况、提供虚假资料的行为。</w:t>
      </w:r>
    </w:p>
    <w:p w14:paraId="4170EBA2">
      <w:pPr>
        <w:spacing w:line="440" w:lineRule="exact"/>
        <w:ind w:firstLine="371" w:firstLineChars="177"/>
        <w:rPr>
          <w:rFonts w:asciiTheme="minorEastAsia" w:hAnsiTheme="minorEastAsia" w:eastAsiaTheme="minorEastAsia"/>
          <w:szCs w:val="21"/>
        </w:rPr>
      </w:pPr>
      <w:r>
        <w:rPr>
          <w:rFonts w:hint="eastAsia" w:asciiTheme="minorEastAsia" w:hAnsiTheme="minorEastAsia" w:eastAsiaTheme="minorEastAsia"/>
          <w:szCs w:val="21"/>
        </w:rPr>
        <w:t>投标供应商不能提供项目负责人或者主要技术人员的劳动合同、社会保险等劳动关系证明材料的，视为存在前款第（三）项规定的情形。</w:t>
      </w:r>
    </w:p>
    <w:p w14:paraId="624CB054">
      <w:pPr>
        <w:widowControl/>
        <w:spacing w:after="120"/>
        <w:jc w:val="left"/>
        <w:rPr>
          <w:rFonts w:ascii="Times New Roman" w:hAnsi="Times New Roman" w:eastAsiaTheme="minorEastAsia"/>
          <w:kern w:val="0"/>
          <w:sz w:val="24"/>
          <w:szCs w:val="24"/>
        </w:rPr>
      </w:pPr>
    </w:p>
    <w:p w14:paraId="68AACED7">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三、《中华人民共和国政府采购法实施条例》</w:t>
      </w:r>
    </w:p>
    <w:p w14:paraId="34CAF885">
      <w:pPr>
        <w:spacing w:line="440" w:lineRule="exact"/>
        <w:ind w:firstLine="371" w:firstLineChars="177"/>
        <w:rPr>
          <w:rFonts w:asciiTheme="minorEastAsia" w:hAnsiTheme="minorEastAsia" w:eastAsiaTheme="minorEastAsia"/>
          <w:szCs w:val="21"/>
        </w:rPr>
      </w:pPr>
      <w:r>
        <w:rPr>
          <w:rFonts w:hint="eastAsia" w:asciiTheme="minorEastAsia" w:hAnsiTheme="minorEastAsia" w:eastAsiaTheme="minorEastAsia"/>
          <w:szCs w:val="21"/>
        </w:rPr>
        <w:t>第十八条 单位负责人为同一人或者存在直接控股、管理关系的不同供应商，不得参加同一合同项下的政府采购活动。</w:t>
      </w:r>
    </w:p>
    <w:p w14:paraId="318B8AF1">
      <w:pPr>
        <w:spacing w:line="440" w:lineRule="exact"/>
        <w:ind w:firstLine="371" w:firstLineChars="177"/>
        <w:rPr>
          <w:rFonts w:asciiTheme="minorEastAsia" w:hAnsiTheme="minorEastAsia" w:eastAsiaTheme="minorEastAsia"/>
          <w:szCs w:val="21"/>
        </w:rPr>
      </w:pPr>
      <w:r>
        <w:rPr>
          <w:rFonts w:hint="eastAsia" w:asciiTheme="minorEastAsia" w:hAnsiTheme="minorEastAsia" w:eastAsiaTheme="minorEastAsia"/>
          <w:szCs w:val="21"/>
        </w:rPr>
        <w:t>除单一来源采购项目外，为采购项目提供整体设计、规范编制或者项目管理、监理、检测等服务的供应商，不得再参加该采购项目的其他采购活动。</w:t>
      </w:r>
    </w:p>
    <w:p w14:paraId="3465E2DA">
      <w:pPr>
        <w:spacing w:line="440" w:lineRule="exact"/>
        <w:ind w:firstLine="371" w:firstLineChars="177"/>
        <w:rPr>
          <w:rFonts w:asciiTheme="minorEastAsia" w:hAnsiTheme="minorEastAsia" w:eastAsiaTheme="minorEastAsia"/>
          <w:szCs w:val="21"/>
        </w:rPr>
      </w:pPr>
    </w:p>
    <w:p w14:paraId="46C6857F">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ascii="宋体" w:hAnsi="宋体" w:cs="宋体"/>
                <w:szCs w:val="21"/>
              </w:rPr>
            </w:pPr>
            <w:r>
              <w:rPr>
                <w:rFonts w:hint="eastAsia" w:ascii="宋体" w:hAnsi="宋体" w:cs="宋体"/>
                <w:szCs w:val="21"/>
              </w:rPr>
              <w:t>序号</w:t>
            </w:r>
          </w:p>
        </w:tc>
        <w:tc>
          <w:tcPr>
            <w:tcW w:w="7711" w:type="dxa"/>
            <w:vAlign w:val="center"/>
          </w:tcPr>
          <w:p w14:paraId="4D67FC26">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ascii="宋体" w:hAnsi="宋体" w:cs="宋体"/>
                <w:szCs w:val="21"/>
              </w:rPr>
            </w:pPr>
            <w:r>
              <w:rPr>
                <w:rFonts w:hint="eastAsia" w:ascii="宋体" w:hAnsi="宋体" w:cs="宋体"/>
                <w:szCs w:val="21"/>
              </w:rPr>
              <w:t>1</w:t>
            </w:r>
          </w:p>
        </w:tc>
        <w:tc>
          <w:tcPr>
            <w:tcW w:w="7711" w:type="dxa"/>
            <w:vAlign w:val="center"/>
          </w:tcPr>
          <w:p w14:paraId="6FCE3B3F">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ascii="宋体" w:hAnsi="宋体" w:cs="宋体"/>
                <w:szCs w:val="21"/>
              </w:rPr>
            </w:pPr>
            <w:r>
              <w:rPr>
                <w:rFonts w:hint="eastAsia" w:ascii="宋体" w:hAnsi="宋体" w:cs="宋体"/>
                <w:szCs w:val="21"/>
              </w:rPr>
              <w:t>2</w:t>
            </w:r>
          </w:p>
        </w:tc>
        <w:tc>
          <w:tcPr>
            <w:tcW w:w="7711" w:type="dxa"/>
            <w:vAlign w:val="center"/>
          </w:tcPr>
          <w:p w14:paraId="5290C97C">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ascii="宋体" w:hAnsi="宋体" w:cs="宋体"/>
                <w:szCs w:val="21"/>
              </w:rPr>
            </w:pPr>
            <w:r>
              <w:rPr>
                <w:rFonts w:hint="eastAsia" w:ascii="宋体" w:hAnsi="宋体" w:cs="宋体"/>
                <w:szCs w:val="21"/>
              </w:rPr>
              <w:t>3</w:t>
            </w:r>
          </w:p>
        </w:tc>
        <w:tc>
          <w:tcPr>
            <w:tcW w:w="7711" w:type="dxa"/>
            <w:vAlign w:val="center"/>
          </w:tcPr>
          <w:p w14:paraId="43C09C65">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ascii="宋体" w:hAnsi="宋体" w:cs="宋体"/>
                <w:szCs w:val="21"/>
              </w:rPr>
            </w:pPr>
            <w:r>
              <w:rPr>
                <w:rFonts w:hint="eastAsia" w:ascii="宋体" w:hAnsi="宋体" w:cs="宋体"/>
                <w:szCs w:val="21"/>
              </w:rPr>
              <w:t>4</w:t>
            </w:r>
          </w:p>
        </w:tc>
        <w:tc>
          <w:tcPr>
            <w:tcW w:w="7711" w:type="dxa"/>
            <w:vAlign w:val="center"/>
          </w:tcPr>
          <w:p w14:paraId="296F5B3A">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ascii="宋体" w:hAnsi="宋体" w:cs="宋体"/>
                <w:szCs w:val="21"/>
              </w:rPr>
            </w:pPr>
            <w:r>
              <w:rPr>
                <w:rFonts w:hint="eastAsia" w:ascii="宋体" w:hAnsi="宋体" w:cs="宋体"/>
                <w:szCs w:val="21"/>
              </w:rPr>
              <w:t>5</w:t>
            </w:r>
          </w:p>
        </w:tc>
        <w:tc>
          <w:tcPr>
            <w:tcW w:w="7711" w:type="dxa"/>
            <w:vAlign w:val="center"/>
          </w:tcPr>
          <w:p w14:paraId="6CC032D7">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ascii="宋体" w:hAnsi="宋体" w:cs="宋体"/>
                <w:szCs w:val="21"/>
              </w:rPr>
            </w:pPr>
            <w:r>
              <w:rPr>
                <w:rFonts w:hint="eastAsia" w:ascii="宋体" w:hAnsi="宋体" w:cs="宋体"/>
                <w:szCs w:val="21"/>
              </w:rPr>
              <w:t>6</w:t>
            </w:r>
          </w:p>
        </w:tc>
        <w:tc>
          <w:tcPr>
            <w:tcW w:w="7711" w:type="dxa"/>
            <w:vAlign w:val="center"/>
          </w:tcPr>
          <w:p w14:paraId="07440E33">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1B1B4111">
      <w:pPr>
        <w:widowControl/>
        <w:jc w:val="left"/>
        <w:rPr>
          <w:rFonts w:ascii="宋体" w:hAnsi="宋体" w:cs="宋体"/>
          <w:kern w:val="0"/>
          <w:sz w:val="40"/>
          <w:szCs w:val="40"/>
        </w:rPr>
      </w:pPr>
      <w:r>
        <w:rPr>
          <w:sz w:val="40"/>
          <w:szCs w:val="40"/>
        </w:rPr>
        <w:br w:type="page"/>
      </w:r>
    </w:p>
    <w:p w14:paraId="2D4D52EF">
      <w:pPr>
        <w:pStyle w:val="37"/>
        <w:spacing w:before="454" w:beforeAutospacing="0" w:after="454" w:afterAutospacing="0"/>
        <w:ind w:left="454" w:right="454"/>
        <w:jc w:val="center"/>
        <w:outlineLvl w:val="0"/>
        <w:rPr>
          <w:rFonts w:hint="eastAsia" w:eastAsia="宋体"/>
          <w:sz w:val="40"/>
          <w:szCs w:val="40"/>
          <w:lang w:eastAsia="zh-CN"/>
        </w:rPr>
      </w:pPr>
      <w:r>
        <w:rPr>
          <w:rFonts w:hint="eastAsia"/>
          <w:sz w:val="40"/>
          <w:szCs w:val="40"/>
          <w:lang w:eastAsia="zh-CN"/>
        </w:rPr>
        <w:t>层流净化空调维保服务项目</w:t>
      </w:r>
    </w:p>
    <w:p w14:paraId="58833B09">
      <w:pPr>
        <w:pStyle w:val="37"/>
        <w:jc w:val="center"/>
        <w:outlineLvl w:val="1"/>
        <w:rPr>
          <w:rFonts w:ascii="黑体" w:hAnsi="黑体" w:eastAsia="黑体"/>
          <w:sz w:val="40"/>
          <w:szCs w:val="40"/>
        </w:rPr>
      </w:pPr>
      <w:r>
        <w:rPr>
          <w:rFonts w:hint="eastAsia" w:ascii="黑体" w:hAnsi="黑体" w:eastAsia="黑体"/>
          <w:sz w:val="40"/>
          <w:szCs w:val="40"/>
        </w:rPr>
        <w:t>招标文件信息</w:t>
      </w:r>
    </w:p>
    <w:tbl>
      <w:tblPr>
        <w:tblStyle w:val="42"/>
        <w:tblW w:w="7938" w:type="dxa"/>
        <w:jc w:val="center"/>
        <w:tblCellSpacing w:w="0" w:type="dxa"/>
        <w:tblLayout w:type="autofit"/>
        <w:tblCellMar>
          <w:top w:w="45" w:type="dxa"/>
          <w:left w:w="45" w:type="dxa"/>
          <w:bottom w:w="45" w:type="dxa"/>
          <w:right w:w="45" w:type="dxa"/>
        </w:tblCellMar>
      </w:tblPr>
      <w:tblGrid>
        <w:gridCol w:w="2722"/>
        <w:gridCol w:w="5216"/>
      </w:tblGrid>
      <w:tr w14:paraId="2963406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5983414">
            <w:pPr>
              <w:jc w:val="right"/>
              <w:rPr>
                <w:rFonts w:cs="宋体" w:asciiTheme="minorEastAsia" w:hAnsiTheme="minorEastAsia" w:eastAsiaTheme="minorEastAsia"/>
                <w:sz w:val="30"/>
                <w:szCs w:val="30"/>
              </w:rPr>
            </w:pPr>
            <w:r>
              <w:rPr>
                <w:rFonts w:asciiTheme="minorEastAsia" w:hAnsiTheme="minorEastAsia" w:eastAsiaTheme="minorEastAsia"/>
                <w:sz w:val="30"/>
                <w:szCs w:val="30"/>
              </w:rPr>
              <w:t>项目编号：</w:t>
            </w:r>
          </w:p>
        </w:tc>
        <w:tc>
          <w:tcPr>
            <w:tcW w:w="0" w:type="auto"/>
            <w:vAlign w:val="center"/>
          </w:tcPr>
          <w:p w14:paraId="0C92543A">
            <w:pPr>
              <w:rPr>
                <w:rFonts w:hint="eastAsia" w:cs="宋体" w:asciiTheme="minorEastAsia" w:hAnsiTheme="minorEastAsia" w:eastAsiaTheme="minorEastAsia"/>
                <w:sz w:val="30"/>
                <w:szCs w:val="30"/>
                <w:lang w:eastAsia="zh-CN"/>
              </w:rPr>
            </w:pPr>
            <w:r>
              <w:rPr>
                <w:rFonts w:hint="eastAsia" w:asciiTheme="minorEastAsia" w:hAnsiTheme="minorEastAsia" w:eastAsiaTheme="minorEastAsia"/>
                <w:sz w:val="30"/>
                <w:szCs w:val="30"/>
                <w:lang w:eastAsia="zh-CN"/>
              </w:rPr>
              <w:t>SZDL2025001517</w:t>
            </w:r>
          </w:p>
        </w:tc>
      </w:tr>
      <w:tr w14:paraId="6830196E">
        <w:tblPrEx>
          <w:tblCellMar>
            <w:top w:w="45" w:type="dxa"/>
            <w:left w:w="45" w:type="dxa"/>
            <w:bottom w:w="45" w:type="dxa"/>
            <w:right w:w="45" w:type="dxa"/>
          </w:tblCellMar>
        </w:tblPrEx>
        <w:trPr>
          <w:trHeight w:val="737" w:hRule="atLeast"/>
          <w:tblCellSpacing w:w="0" w:type="dxa"/>
          <w:jc w:val="center"/>
        </w:trPr>
        <w:tc>
          <w:tcPr>
            <w:tcW w:w="0" w:type="auto"/>
            <w:vAlign w:val="center"/>
          </w:tcPr>
          <w:p w14:paraId="2C9DE1D1">
            <w:pPr>
              <w:jc w:val="right"/>
              <w:rPr>
                <w:rFonts w:cs="宋体" w:asciiTheme="minorEastAsia" w:hAnsiTheme="minorEastAsia" w:eastAsiaTheme="minorEastAsia"/>
                <w:sz w:val="30"/>
                <w:szCs w:val="30"/>
              </w:rPr>
            </w:pPr>
            <w:r>
              <w:rPr>
                <w:rFonts w:asciiTheme="minorEastAsia" w:hAnsiTheme="minorEastAsia" w:eastAsiaTheme="minorEastAsia"/>
                <w:sz w:val="30"/>
                <w:szCs w:val="30"/>
              </w:rPr>
              <w:t>项目名称：</w:t>
            </w:r>
          </w:p>
        </w:tc>
        <w:tc>
          <w:tcPr>
            <w:tcW w:w="0" w:type="auto"/>
            <w:vAlign w:val="center"/>
          </w:tcPr>
          <w:p w14:paraId="631F910E">
            <w:pPr>
              <w:rPr>
                <w:rFonts w:hint="eastAsia" w:cs="宋体" w:asciiTheme="minorEastAsia" w:hAnsiTheme="minorEastAsia" w:eastAsiaTheme="minorEastAsia"/>
                <w:sz w:val="30"/>
                <w:szCs w:val="30"/>
                <w:lang w:eastAsia="zh-CN"/>
              </w:rPr>
            </w:pPr>
            <w:r>
              <w:rPr>
                <w:rFonts w:hint="eastAsia" w:asciiTheme="minorEastAsia" w:hAnsiTheme="minorEastAsia" w:eastAsiaTheme="minorEastAsia"/>
                <w:sz w:val="30"/>
                <w:szCs w:val="30"/>
                <w:lang w:eastAsia="zh-CN"/>
              </w:rPr>
              <w:t>层流净化空调维保服务项目</w:t>
            </w:r>
          </w:p>
        </w:tc>
      </w:tr>
      <w:tr w14:paraId="079321F1">
        <w:tblPrEx>
          <w:tblCellMar>
            <w:top w:w="45" w:type="dxa"/>
            <w:left w:w="45" w:type="dxa"/>
            <w:bottom w:w="45" w:type="dxa"/>
            <w:right w:w="45" w:type="dxa"/>
          </w:tblCellMar>
        </w:tblPrEx>
        <w:trPr>
          <w:trHeight w:val="737" w:hRule="atLeast"/>
          <w:tblCellSpacing w:w="0" w:type="dxa"/>
          <w:jc w:val="center"/>
        </w:trPr>
        <w:tc>
          <w:tcPr>
            <w:tcW w:w="0" w:type="auto"/>
            <w:vAlign w:val="center"/>
          </w:tcPr>
          <w:p w14:paraId="66E0F421">
            <w:pPr>
              <w:jc w:val="right"/>
              <w:rPr>
                <w:rFonts w:cs="宋体" w:asciiTheme="minorEastAsia" w:hAnsiTheme="minorEastAsia" w:eastAsiaTheme="minorEastAsia"/>
                <w:sz w:val="30"/>
                <w:szCs w:val="30"/>
              </w:rPr>
            </w:pPr>
            <w:r>
              <w:rPr>
                <w:rFonts w:asciiTheme="minorEastAsia" w:hAnsiTheme="minorEastAsia" w:eastAsiaTheme="minorEastAsia"/>
                <w:sz w:val="30"/>
                <w:szCs w:val="30"/>
              </w:rPr>
              <w:t>包 号：</w:t>
            </w:r>
          </w:p>
        </w:tc>
        <w:tc>
          <w:tcPr>
            <w:tcW w:w="0" w:type="auto"/>
            <w:vAlign w:val="center"/>
          </w:tcPr>
          <w:p w14:paraId="17D205EF">
            <w:pPr>
              <w:rPr>
                <w:rFonts w:cs="宋体" w:asciiTheme="minorEastAsia" w:hAnsiTheme="minorEastAsia" w:eastAsiaTheme="minorEastAsia"/>
                <w:sz w:val="30"/>
                <w:szCs w:val="30"/>
              </w:rPr>
            </w:pPr>
            <w:r>
              <w:rPr>
                <w:rFonts w:asciiTheme="minorEastAsia" w:hAnsiTheme="minorEastAsia" w:eastAsiaTheme="minorEastAsia"/>
                <w:sz w:val="30"/>
                <w:szCs w:val="30"/>
              </w:rPr>
              <w:t>A</w:t>
            </w:r>
          </w:p>
        </w:tc>
      </w:tr>
      <w:tr w14:paraId="52F0B10F">
        <w:tblPrEx>
          <w:tblCellMar>
            <w:top w:w="45" w:type="dxa"/>
            <w:left w:w="45" w:type="dxa"/>
            <w:bottom w:w="45" w:type="dxa"/>
            <w:right w:w="45" w:type="dxa"/>
          </w:tblCellMar>
        </w:tblPrEx>
        <w:trPr>
          <w:trHeight w:val="737" w:hRule="atLeast"/>
          <w:tblCellSpacing w:w="0" w:type="dxa"/>
          <w:jc w:val="center"/>
        </w:trPr>
        <w:tc>
          <w:tcPr>
            <w:tcW w:w="0" w:type="auto"/>
            <w:vAlign w:val="center"/>
          </w:tcPr>
          <w:p w14:paraId="7FA078EE">
            <w:pPr>
              <w:jc w:val="right"/>
              <w:rPr>
                <w:rFonts w:cs="宋体" w:asciiTheme="minorEastAsia" w:hAnsiTheme="minorEastAsia" w:eastAsiaTheme="minorEastAsia"/>
                <w:sz w:val="30"/>
                <w:szCs w:val="30"/>
              </w:rPr>
            </w:pPr>
            <w:r>
              <w:rPr>
                <w:rFonts w:asciiTheme="minorEastAsia" w:hAnsiTheme="minorEastAsia" w:eastAsiaTheme="minorEastAsia"/>
                <w:sz w:val="30"/>
                <w:szCs w:val="30"/>
              </w:rPr>
              <w:t>项目类型：</w:t>
            </w:r>
          </w:p>
        </w:tc>
        <w:tc>
          <w:tcPr>
            <w:tcW w:w="0" w:type="auto"/>
            <w:vAlign w:val="center"/>
          </w:tcPr>
          <w:p w14:paraId="0DE22449">
            <w:pPr>
              <w:rPr>
                <w:rFonts w:cs="宋体" w:asciiTheme="minorEastAsia" w:hAnsiTheme="minorEastAsia" w:eastAsiaTheme="minorEastAsia"/>
                <w:sz w:val="30"/>
                <w:szCs w:val="30"/>
              </w:rPr>
            </w:pPr>
            <w:r>
              <w:rPr>
                <w:rFonts w:asciiTheme="minorEastAsia" w:hAnsiTheme="minorEastAsia" w:eastAsiaTheme="minorEastAsia"/>
                <w:sz w:val="30"/>
                <w:szCs w:val="30"/>
              </w:rPr>
              <w:t>服务类</w:t>
            </w:r>
          </w:p>
        </w:tc>
      </w:tr>
      <w:tr w14:paraId="6938D41F">
        <w:tblPrEx>
          <w:tblCellMar>
            <w:top w:w="45" w:type="dxa"/>
            <w:left w:w="45" w:type="dxa"/>
            <w:bottom w:w="45" w:type="dxa"/>
            <w:right w:w="45" w:type="dxa"/>
          </w:tblCellMar>
        </w:tblPrEx>
        <w:trPr>
          <w:trHeight w:val="737" w:hRule="atLeast"/>
          <w:tblCellSpacing w:w="0" w:type="dxa"/>
          <w:jc w:val="center"/>
        </w:trPr>
        <w:tc>
          <w:tcPr>
            <w:tcW w:w="0" w:type="auto"/>
            <w:vAlign w:val="center"/>
          </w:tcPr>
          <w:p w14:paraId="2FDA4DE6">
            <w:pPr>
              <w:jc w:val="right"/>
              <w:rPr>
                <w:rFonts w:cs="宋体" w:asciiTheme="minorEastAsia" w:hAnsiTheme="minorEastAsia" w:eastAsiaTheme="minorEastAsia"/>
                <w:sz w:val="30"/>
                <w:szCs w:val="30"/>
              </w:rPr>
            </w:pPr>
            <w:r>
              <w:rPr>
                <w:rFonts w:asciiTheme="minorEastAsia" w:hAnsiTheme="minorEastAsia" w:eastAsiaTheme="minorEastAsia"/>
                <w:sz w:val="30"/>
                <w:szCs w:val="30"/>
              </w:rPr>
              <w:t>采购方式：</w:t>
            </w:r>
          </w:p>
        </w:tc>
        <w:tc>
          <w:tcPr>
            <w:tcW w:w="0" w:type="auto"/>
            <w:vAlign w:val="center"/>
          </w:tcPr>
          <w:p w14:paraId="207E6E45">
            <w:pPr>
              <w:rPr>
                <w:rFonts w:cs="宋体" w:asciiTheme="minorEastAsia" w:hAnsiTheme="minorEastAsia" w:eastAsiaTheme="minorEastAsia"/>
                <w:sz w:val="30"/>
                <w:szCs w:val="30"/>
              </w:rPr>
            </w:pPr>
            <w:r>
              <w:rPr>
                <w:rFonts w:asciiTheme="minorEastAsia" w:hAnsiTheme="minorEastAsia" w:eastAsiaTheme="minorEastAsia"/>
                <w:sz w:val="30"/>
                <w:szCs w:val="30"/>
              </w:rPr>
              <w:t>公开招标</w:t>
            </w:r>
          </w:p>
        </w:tc>
      </w:tr>
      <w:tr w14:paraId="117EEEFD">
        <w:tblPrEx>
          <w:tblCellMar>
            <w:top w:w="45" w:type="dxa"/>
            <w:left w:w="45" w:type="dxa"/>
            <w:bottom w:w="45" w:type="dxa"/>
            <w:right w:w="45" w:type="dxa"/>
          </w:tblCellMar>
        </w:tblPrEx>
        <w:trPr>
          <w:trHeight w:val="737" w:hRule="atLeast"/>
          <w:tblCellSpacing w:w="0" w:type="dxa"/>
          <w:jc w:val="center"/>
        </w:trPr>
        <w:tc>
          <w:tcPr>
            <w:tcW w:w="0" w:type="auto"/>
            <w:vAlign w:val="center"/>
          </w:tcPr>
          <w:p w14:paraId="7F1B22BC">
            <w:pPr>
              <w:jc w:val="right"/>
              <w:rPr>
                <w:rFonts w:ascii="宋体" w:hAnsi="宋体" w:cs="宋体"/>
                <w:sz w:val="30"/>
                <w:szCs w:val="30"/>
              </w:rPr>
            </w:pPr>
            <w:r>
              <w:rPr>
                <w:sz w:val="30"/>
                <w:szCs w:val="30"/>
              </w:rPr>
              <w:t>货币类型：</w:t>
            </w:r>
          </w:p>
        </w:tc>
        <w:tc>
          <w:tcPr>
            <w:tcW w:w="0" w:type="auto"/>
            <w:vAlign w:val="center"/>
          </w:tcPr>
          <w:p w14:paraId="3227442A">
            <w:pPr>
              <w:rPr>
                <w:rFonts w:ascii="宋体" w:hAnsi="宋体" w:cs="宋体"/>
                <w:sz w:val="30"/>
                <w:szCs w:val="30"/>
              </w:rPr>
            </w:pPr>
            <w:r>
              <w:rPr>
                <w:sz w:val="30"/>
                <w:szCs w:val="30"/>
              </w:rPr>
              <w:t>人民币</w:t>
            </w:r>
          </w:p>
        </w:tc>
      </w:tr>
      <w:tr w14:paraId="30E1B99E">
        <w:tblPrEx>
          <w:tblCellMar>
            <w:top w:w="45" w:type="dxa"/>
            <w:left w:w="45" w:type="dxa"/>
            <w:bottom w:w="45" w:type="dxa"/>
            <w:right w:w="45" w:type="dxa"/>
          </w:tblCellMar>
        </w:tblPrEx>
        <w:trPr>
          <w:trHeight w:val="737" w:hRule="atLeast"/>
          <w:tblCellSpacing w:w="0" w:type="dxa"/>
          <w:jc w:val="center"/>
        </w:trPr>
        <w:tc>
          <w:tcPr>
            <w:tcW w:w="0" w:type="auto"/>
            <w:vAlign w:val="center"/>
          </w:tcPr>
          <w:p w14:paraId="3D612645">
            <w:pPr>
              <w:jc w:val="right"/>
              <w:rPr>
                <w:rFonts w:ascii="宋体" w:hAnsi="宋体" w:cs="宋体"/>
                <w:sz w:val="30"/>
                <w:szCs w:val="30"/>
              </w:rPr>
            </w:pPr>
            <w:r>
              <w:rPr>
                <w:sz w:val="30"/>
                <w:szCs w:val="30"/>
              </w:rPr>
              <w:t>评标方法：</w:t>
            </w:r>
          </w:p>
        </w:tc>
        <w:tc>
          <w:tcPr>
            <w:tcW w:w="0" w:type="auto"/>
            <w:vAlign w:val="center"/>
          </w:tcPr>
          <w:p w14:paraId="61392236">
            <w:pPr>
              <w:rPr>
                <w:rFonts w:ascii="宋体" w:hAnsi="宋体" w:cs="宋体"/>
                <w:sz w:val="30"/>
                <w:szCs w:val="30"/>
              </w:rPr>
            </w:pPr>
            <w:r>
              <w:rPr>
                <w:sz w:val="30"/>
                <w:szCs w:val="30"/>
              </w:rPr>
              <w:t>综合评分法（新价格分算法）</w:t>
            </w:r>
          </w:p>
        </w:tc>
      </w:tr>
    </w:tbl>
    <w:p w14:paraId="537582D5">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5CD42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776932">
            <w:pPr>
              <w:jc w:val="center"/>
              <w:rPr>
                <w:rFonts w:ascii="宋体" w:hAnsi="宋体" w:cs="宋体"/>
                <w:sz w:val="28"/>
                <w:szCs w:val="28"/>
              </w:rPr>
            </w:pPr>
            <w:r>
              <w:rPr>
                <w:rFonts w:hint="eastAsia" w:ascii="宋体" w:hAnsi="宋体" w:cs="宋体"/>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6389880B">
            <w:pPr>
              <w:jc w:val="center"/>
              <w:rPr>
                <w:rFonts w:ascii="宋体" w:hAnsi="宋体" w:cs="宋体"/>
                <w:sz w:val="28"/>
                <w:szCs w:val="28"/>
              </w:rPr>
            </w:pPr>
            <w:r>
              <w:rPr>
                <w:rFonts w:hint="eastAsia" w:ascii="宋体" w:hAnsi="宋体" w:cs="宋体"/>
                <w:sz w:val="28"/>
                <w:szCs w:val="28"/>
              </w:rPr>
              <w:t>内容</w:t>
            </w:r>
          </w:p>
        </w:tc>
      </w:tr>
      <w:tr w14:paraId="1DEF0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C49B5EE">
            <w:pPr>
              <w:jc w:val="center"/>
              <w:rPr>
                <w:rFonts w:ascii="宋体" w:hAnsi="宋体" w:cs="宋体"/>
                <w:szCs w:val="21"/>
              </w:rPr>
            </w:pPr>
            <w:r>
              <w:rPr>
                <w:rFonts w:hint="eastAsia" w:ascii="宋体" w:hAnsi="宋体" w:cs="宋体"/>
                <w:szCs w:val="21"/>
              </w:rPr>
              <w:t>1</w:t>
            </w:r>
          </w:p>
        </w:tc>
        <w:tc>
          <w:tcPr>
            <w:tcW w:w="0" w:type="auto"/>
            <w:tcBorders>
              <w:top w:val="single" w:color="000000" w:sz="8" w:space="0"/>
              <w:left w:val="single" w:color="000000" w:sz="8" w:space="0"/>
              <w:bottom w:val="single" w:color="000000" w:sz="8" w:space="0"/>
              <w:right w:val="single" w:color="000000" w:sz="8" w:space="0"/>
            </w:tcBorders>
          </w:tcPr>
          <w:p w14:paraId="71617355">
            <w:pPr>
              <w:rPr>
                <w:rFonts w:ascii="宋体" w:hAnsi="宋体" w:cs="宋体"/>
                <w:szCs w:val="21"/>
              </w:rPr>
            </w:pPr>
            <w:r>
              <w:rPr>
                <w:rFonts w:hint="eastAsia" w:ascii="宋体" w:hAnsi="宋体" w:cs="宋体"/>
                <w:szCs w:val="21"/>
              </w:rPr>
              <w:t>投标人具备招标文件所列的资格要求，且提交相应的资格证明资料（详见招标公告</w:t>
            </w:r>
            <w:r>
              <w:rPr>
                <w:rFonts w:hint="eastAsia" w:ascii="宋体" w:hAnsi="宋体" w:cs="宋体"/>
              </w:rPr>
              <w:t>申请人的资格要求</w:t>
            </w:r>
            <w:r>
              <w:rPr>
                <w:rFonts w:hint="eastAsia" w:ascii="宋体" w:hAnsi="宋体" w:cs="宋体"/>
                <w:szCs w:val="21"/>
              </w:rPr>
              <w:t>）</w:t>
            </w:r>
          </w:p>
        </w:tc>
      </w:tr>
    </w:tbl>
    <w:p w14:paraId="15D29D0B">
      <w:pPr>
        <w:pStyle w:val="37"/>
        <w:spacing w:before="280" w:beforeAutospacing="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E8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F69C36C">
            <w:pPr>
              <w:jc w:val="center"/>
              <w:rPr>
                <w:rFonts w:ascii="宋体" w:hAnsi="宋体" w:cs="宋体"/>
                <w:sz w:val="28"/>
                <w:szCs w:val="28"/>
              </w:rPr>
            </w:pPr>
            <w:r>
              <w:rPr>
                <w:rFonts w:hint="eastAsia" w:ascii="宋体" w:hAnsi="宋体" w:cs="宋体"/>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3BC8C9E">
            <w:pPr>
              <w:jc w:val="center"/>
              <w:rPr>
                <w:rFonts w:ascii="宋体" w:hAnsi="宋体" w:cs="宋体"/>
                <w:sz w:val="28"/>
                <w:szCs w:val="28"/>
              </w:rPr>
            </w:pPr>
            <w:r>
              <w:rPr>
                <w:rFonts w:hint="eastAsia" w:ascii="宋体" w:hAnsi="宋体" w:cs="宋体"/>
                <w:sz w:val="28"/>
                <w:szCs w:val="28"/>
              </w:rPr>
              <w:t>内容</w:t>
            </w:r>
          </w:p>
        </w:tc>
      </w:tr>
      <w:tr w14:paraId="24004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43F35C8">
            <w:pPr>
              <w:jc w:val="center"/>
              <w:rPr>
                <w:rFonts w:ascii="宋体" w:hAnsi="宋体" w:cs="宋体"/>
                <w:szCs w:val="21"/>
              </w:rPr>
            </w:pPr>
            <w:r>
              <w:rPr>
                <w:rFonts w:hint="eastAsia" w:ascii="宋体" w:hAnsi="宋体" w:cs="宋体"/>
                <w:szCs w:val="21"/>
              </w:rPr>
              <w:t>1</w:t>
            </w:r>
          </w:p>
        </w:tc>
        <w:tc>
          <w:tcPr>
            <w:tcW w:w="0" w:type="auto"/>
            <w:tcBorders>
              <w:top w:val="single" w:color="000000" w:sz="8" w:space="0"/>
              <w:left w:val="single" w:color="000000" w:sz="8" w:space="0"/>
              <w:bottom w:val="single" w:color="000000" w:sz="8" w:space="0"/>
              <w:right w:val="single" w:color="000000" w:sz="8" w:space="0"/>
            </w:tcBorders>
          </w:tcPr>
          <w:p w14:paraId="6A12ABF1">
            <w:pPr>
              <w:rPr>
                <w:rFonts w:ascii="宋体" w:hAnsi="宋体" w:cs="宋体"/>
                <w:szCs w:val="21"/>
              </w:rPr>
            </w:pPr>
            <w:r>
              <w:rPr>
                <w:rFonts w:hint="eastAsia" w:ascii="宋体" w:hAnsi="宋体" w:cs="宋体"/>
                <w:szCs w:val="21"/>
              </w:rPr>
              <w:t>未将一个包或一个标段的内容拆开投标</w:t>
            </w:r>
          </w:p>
        </w:tc>
      </w:tr>
      <w:tr w14:paraId="3E5FD9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2DD7F22">
            <w:pPr>
              <w:jc w:val="center"/>
              <w:rPr>
                <w:rFonts w:ascii="宋体" w:hAnsi="宋体" w:cs="宋体"/>
                <w:szCs w:val="21"/>
              </w:rPr>
            </w:pPr>
            <w:r>
              <w:rPr>
                <w:rFonts w:hint="eastAsia" w:ascii="宋体" w:hAnsi="宋体" w:cs="宋体"/>
                <w:szCs w:val="21"/>
              </w:rPr>
              <w:t>2</w:t>
            </w:r>
          </w:p>
        </w:tc>
        <w:tc>
          <w:tcPr>
            <w:tcW w:w="0" w:type="auto"/>
            <w:tcBorders>
              <w:top w:val="single" w:color="000000" w:sz="8" w:space="0"/>
              <w:left w:val="single" w:color="000000" w:sz="8" w:space="0"/>
              <w:bottom w:val="single" w:color="000000" w:sz="8" w:space="0"/>
              <w:right w:val="single" w:color="000000" w:sz="8" w:space="0"/>
            </w:tcBorders>
          </w:tcPr>
          <w:p w14:paraId="796BC700">
            <w:pPr>
              <w:rPr>
                <w:rFonts w:ascii="宋体" w:hAnsi="宋体" w:cs="宋体"/>
                <w:szCs w:val="21"/>
              </w:rPr>
            </w:pPr>
            <w:r>
              <w:rPr>
                <w:rFonts w:hint="eastAsia" w:ascii="宋体" w:hAnsi="宋体" w:cs="宋体"/>
                <w:szCs w:val="21"/>
              </w:rPr>
              <w:t>对同一项目投标时，未提供两套及以上的投标方案（招标文件另有规定的除外）</w:t>
            </w:r>
          </w:p>
        </w:tc>
      </w:tr>
      <w:tr w14:paraId="1181D1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F6611EE">
            <w:pPr>
              <w:jc w:val="center"/>
              <w:rPr>
                <w:rFonts w:ascii="宋体" w:hAnsi="宋体" w:cs="宋体"/>
                <w:szCs w:val="21"/>
              </w:rPr>
            </w:pPr>
            <w:r>
              <w:rPr>
                <w:rFonts w:hint="eastAsia" w:ascii="宋体" w:hAnsi="宋体" w:cs="宋体"/>
                <w:szCs w:val="21"/>
              </w:rPr>
              <w:t>3</w:t>
            </w:r>
          </w:p>
        </w:tc>
        <w:tc>
          <w:tcPr>
            <w:tcW w:w="0" w:type="auto"/>
            <w:tcBorders>
              <w:top w:val="single" w:color="000000" w:sz="8" w:space="0"/>
              <w:left w:val="single" w:color="000000" w:sz="8" w:space="0"/>
              <w:bottom w:val="single" w:color="000000" w:sz="8" w:space="0"/>
              <w:right w:val="single" w:color="000000" w:sz="8" w:space="0"/>
            </w:tcBorders>
          </w:tcPr>
          <w:p w14:paraId="3350AFB7">
            <w:pPr>
              <w:rPr>
                <w:rFonts w:ascii="宋体" w:hAnsi="宋体" w:cs="宋体"/>
                <w:szCs w:val="21"/>
              </w:rPr>
            </w:pPr>
            <w:r>
              <w:rPr>
                <w:rFonts w:hint="eastAsia" w:ascii="宋体" w:hAnsi="宋体" w:cs="宋体"/>
                <w:szCs w:val="21"/>
              </w:rPr>
              <w:t>分项报价或投标总价未超过相应预算金额或最高投标限价</w:t>
            </w:r>
          </w:p>
        </w:tc>
      </w:tr>
      <w:tr w14:paraId="7A1E6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B01A2A2">
            <w:pPr>
              <w:jc w:val="center"/>
              <w:rPr>
                <w:rFonts w:ascii="宋体" w:hAnsi="宋体" w:cs="宋体"/>
                <w:szCs w:val="21"/>
              </w:rPr>
            </w:pPr>
            <w:r>
              <w:rPr>
                <w:rFonts w:hint="eastAsia" w:ascii="宋体" w:hAnsi="宋体" w:cs="宋体"/>
                <w:szCs w:val="21"/>
              </w:rPr>
              <w:t>4</w:t>
            </w:r>
          </w:p>
        </w:tc>
        <w:tc>
          <w:tcPr>
            <w:tcW w:w="0" w:type="auto"/>
            <w:tcBorders>
              <w:top w:val="single" w:color="000000" w:sz="8" w:space="0"/>
              <w:left w:val="single" w:color="000000" w:sz="8" w:space="0"/>
              <w:bottom w:val="single" w:color="000000" w:sz="8" w:space="0"/>
              <w:right w:val="single" w:color="000000" w:sz="8" w:space="0"/>
            </w:tcBorders>
          </w:tcPr>
          <w:p w14:paraId="5EECDB99">
            <w:pPr>
              <w:rPr>
                <w:rFonts w:ascii="宋体" w:hAnsi="宋体" w:cs="宋体"/>
                <w:szCs w:val="21"/>
              </w:rPr>
            </w:pPr>
            <w:r>
              <w:rPr>
                <w:rFonts w:hint="eastAsia" w:ascii="宋体" w:hAnsi="宋体" w:cs="宋体"/>
                <w:szCs w:val="21"/>
              </w:rPr>
              <w:t>如评标委员会认为投标人的报价明显低于其他通过符合性审查投标人的报价，有可能影响产品质量或者不能诚信履约的，应当要求其在评标现场合理的时间内提供书面说明，必要时提交相关证明材料；投标人应证明其报价合理性（评审委员会成员对投标人提供的说明材料判断不一致的，按照“少数服从多数”的原则确定评审委员会的意见）</w:t>
            </w:r>
          </w:p>
        </w:tc>
      </w:tr>
      <w:tr w14:paraId="14B13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3FEDA98">
            <w:pPr>
              <w:jc w:val="center"/>
              <w:rPr>
                <w:rFonts w:ascii="宋体" w:hAnsi="宋体" w:cs="宋体"/>
                <w:szCs w:val="21"/>
              </w:rPr>
            </w:pPr>
            <w:r>
              <w:rPr>
                <w:rFonts w:hint="eastAsia" w:ascii="宋体" w:hAnsi="宋体" w:cs="宋体"/>
                <w:szCs w:val="21"/>
              </w:rPr>
              <w:t>5</w:t>
            </w:r>
          </w:p>
        </w:tc>
        <w:tc>
          <w:tcPr>
            <w:tcW w:w="0" w:type="auto"/>
            <w:tcBorders>
              <w:top w:val="single" w:color="000000" w:sz="8" w:space="0"/>
              <w:left w:val="single" w:color="000000" w:sz="8" w:space="0"/>
              <w:bottom w:val="single" w:color="000000" w:sz="8" w:space="0"/>
              <w:right w:val="single" w:color="000000" w:sz="8" w:space="0"/>
            </w:tcBorders>
          </w:tcPr>
          <w:p w14:paraId="1061A874">
            <w:pPr>
              <w:rPr>
                <w:rFonts w:ascii="宋体" w:hAnsi="宋体" w:cs="宋体"/>
                <w:szCs w:val="21"/>
              </w:rPr>
            </w:pPr>
            <w:r>
              <w:rPr>
                <w:rFonts w:hint="eastAsia" w:ascii="宋体" w:hAnsi="宋体" w:cs="宋体"/>
                <w:szCs w:val="21"/>
              </w:rPr>
              <w:t xml:space="preserve">投标报价满足招标文件报价要求且无缺漏项目 </w:t>
            </w:r>
          </w:p>
        </w:tc>
      </w:tr>
      <w:tr w14:paraId="5B7F1B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FE59BFD">
            <w:pPr>
              <w:jc w:val="center"/>
              <w:rPr>
                <w:rFonts w:ascii="宋体" w:hAnsi="宋体" w:cs="宋体"/>
                <w:szCs w:val="21"/>
              </w:rPr>
            </w:pPr>
            <w:r>
              <w:rPr>
                <w:rFonts w:hint="eastAsia" w:ascii="宋体" w:hAnsi="宋体" w:cs="宋体"/>
                <w:szCs w:val="21"/>
              </w:rPr>
              <w:t>6</w:t>
            </w:r>
          </w:p>
        </w:tc>
        <w:tc>
          <w:tcPr>
            <w:tcW w:w="0" w:type="auto"/>
            <w:tcBorders>
              <w:top w:val="single" w:color="000000" w:sz="8" w:space="0"/>
              <w:left w:val="single" w:color="000000" w:sz="8" w:space="0"/>
              <w:bottom w:val="single" w:color="000000" w:sz="8" w:space="0"/>
              <w:right w:val="single" w:color="000000" w:sz="8" w:space="0"/>
            </w:tcBorders>
          </w:tcPr>
          <w:p w14:paraId="2C54D015">
            <w:pPr>
              <w:rPr>
                <w:rFonts w:ascii="宋体" w:hAnsi="宋体" w:cs="宋体"/>
                <w:szCs w:val="21"/>
              </w:rPr>
            </w:pPr>
            <w:r>
              <w:rPr>
                <w:rFonts w:hint="eastAsia" w:ascii="宋体" w:hAnsi="宋体" w:cs="宋体"/>
                <w:szCs w:val="21"/>
              </w:rPr>
              <w:t>投标文件不存在</w:t>
            </w:r>
            <w:r>
              <w:rPr>
                <w:rFonts w:hint="eastAsia" w:ascii="宋体" w:hAnsi="宋体" w:cs="宋体"/>
              </w:rPr>
              <w:t>对招标文件规定的货物或服务或工程量清单的项目或数量进行修改，评标委员会判定投标响应不满足采购需求的情形</w:t>
            </w:r>
          </w:p>
        </w:tc>
      </w:tr>
      <w:tr w14:paraId="23C844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0D73158">
            <w:pPr>
              <w:jc w:val="center"/>
              <w:rPr>
                <w:rFonts w:ascii="宋体" w:hAnsi="宋体" w:cs="宋体"/>
                <w:szCs w:val="21"/>
              </w:rPr>
            </w:pPr>
            <w:r>
              <w:rPr>
                <w:rFonts w:hint="eastAsia" w:ascii="宋体" w:hAnsi="宋体" w:cs="宋体"/>
                <w:szCs w:val="21"/>
              </w:rPr>
              <w:t>7</w:t>
            </w:r>
          </w:p>
        </w:tc>
        <w:tc>
          <w:tcPr>
            <w:tcW w:w="0" w:type="auto"/>
            <w:tcBorders>
              <w:top w:val="single" w:color="000000" w:sz="8" w:space="0"/>
              <w:left w:val="single" w:color="000000" w:sz="8" w:space="0"/>
              <w:bottom w:val="single" w:color="000000" w:sz="8" w:space="0"/>
              <w:right w:val="single" w:color="000000" w:sz="8" w:space="0"/>
            </w:tcBorders>
          </w:tcPr>
          <w:p w14:paraId="30E827C7">
            <w:pPr>
              <w:rPr>
                <w:rFonts w:ascii="宋体" w:hAnsi="宋体" w:cs="宋体"/>
                <w:szCs w:val="21"/>
              </w:rPr>
            </w:pPr>
            <w:r>
              <w:rPr>
                <w:rFonts w:hint="eastAsia" w:ascii="宋体" w:hAnsi="宋体" w:cs="宋体"/>
                <w:szCs w:val="21"/>
              </w:rPr>
              <w:t>所投产品、工程、服务在商务、技术等方面实质性满足招标文件要求（是否实质性满足招标文件要求，由评标委员会根据《实质性条款响应情况表》做出评判）</w:t>
            </w:r>
          </w:p>
        </w:tc>
      </w:tr>
      <w:tr w14:paraId="4E195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DFAC455">
            <w:pPr>
              <w:jc w:val="center"/>
              <w:rPr>
                <w:rFonts w:ascii="宋体" w:hAnsi="宋体" w:cs="宋体"/>
                <w:szCs w:val="21"/>
              </w:rPr>
            </w:pPr>
            <w:r>
              <w:rPr>
                <w:rFonts w:hint="eastAsia" w:ascii="宋体" w:hAnsi="宋体" w:cs="宋体"/>
                <w:szCs w:val="21"/>
              </w:rPr>
              <w:t>8</w:t>
            </w:r>
          </w:p>
        </w:tc>
        <w:tc>
          <w:tcPr>
            <w:tcW w:w="0" w:type="auto"/>
            <w:tcBorders>
              <w:top w:val="single" w:color="000000" w:sz="8" w:space="0"/>
              <w:left w:val="single" w:color="000000" w:sz="8" w:space="0"/>
              <w:bottom w:val="single" w:color="000000" w:sz="8" w:space="0"/>
              <w:right w:val="single" w:color="000000" w:sz="8" w:space="0"/>
            </w:tcBorders>
          </w:tcPr>
          <w:p w14:paraId="3F686E5B">
            <w:pPr>
              <w:rPr>
                <w:rFonts w:ascii="宋体" w:hAnsi="宋体" w:cs="宋体"/>
                <w:szCs w:val="21"/>
              </w:rPr>
            </w:pPr>
            <w:r>
              <w:rPr>
                <w:rFonts w:hint="eastAsia" w:ascii="宋体" w:hAnsi="宋体" w:cs="宋体"/>
                <w:szCs w:val="21"/>
              </w:rPr>
              <w:t>按招标文件所提供的样式填写《投标函》；按招标文件所提供的《政府采购投标及履约承诺函》进行承诺；</w:t>
            </w:r>
            <w:r>
              <w:rPr>
                <w:rFonts w:hint="eastAsia"/>
                <w:szCs w:val="21"/>
              </w:rPr>
              <w:t>并</w:t>
            </w:r>
            <w:r>
              <w:rPr>
                <w:szCs w:val="21"/>
              </w:rPr>
              <w:t>按招标文件对投标文件组成的要求提供投标文件（投标文件组成完整）</w:t>
            </w:r>
          </w:p>
        </w:tc>
      </w:tr>
      <w:tr w14:paraId="72A44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B846D53">
            <w:pPr>
              <w:jc w:val="center"/>
              <w:rPr>
                <w:rFonts w:ascii="宋体" w:hAnsi="宋体" w:cs="宋体"/>
                <w:szCs w:val="21"/>
              </w:rPr>
            </w:pPr>
            <w:r>
              <w:rPr>
                <w:rFonts w:hint="eastAsia" w:ascii="宋体" w:hAnsi="宋体" w:cs="宋体"/>
                <w:szCs w:val="21"/>
              </w:rPr>
              <w:t>9</w:t>
            </w:r>
          </w:p>
        </w:tc>
        <w:tc>
          <w:tcPr>
            <w:tcW w:w="0" w:type="auto"/>
            <w:tcBorders>
              <w:top w:val="single" w:color="000000" w:sz="8" w:space="0"/>
              <w:left w:val="single" w:color="000000" w:sz="8" w:space="0"/>
              <w:bottom w:val="single" w:color="000000" w:sz="8" w:space="0"/>
              <w:right w:val="single" w:color="000000" w:sz="8" w:space="0"/>
            </w:tcBorders>
          </w:tcPr>
          <w:p w14:paraId="1A4E612C">
            <w:pPr>
              <w:rPr>
                <w:rFonts w:ascii="宋体" w:hAnsi="宋体" w:cs="宋体"/>
                <w:szCs w:val="21"/>
              </w:rPr>
            </w:pPr>
            <w:r>
              <w:rPr>
                <w:rFonts w:hint="eastAsia" w:ascii="宋体" w:hAnsi="宋体" w:cs="宋体"/>
                <w:szCs w:val="21"/>
              </w:rPr>
              <w:t>投标文件不存在列放位置错误，导致属于信息公开内容没有被公开的情形</w:t>
            </w:r>
          </w:p>
        </w:tc>
      </w:tr>
      <w:tr w14:paraId="33533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D18EFF0">
            <w:pPr>
              <w:jc w:val="center"/>
              <w:rPr>
                <w:rFonts w:ascii="宋体" w:hAnsi="宋体" w:cs="宋体"/>
                <w:szCs w:val="21"/>
              </w:rPr>
            </w:pPr>
            <w:r>
              <w:rPr>
                <w:rFonts w:hint="eastAsia" w:ascii="宋体" w:hAnsi="宋体" w:cs="宋体"/>
                <w:szCs w:val="21"/>
              </w:rPr>
              <w:t>10</w:t>
            </w:r>
          </w:p>
        </w:tc>
        <w:tc>
          <w:tcPr>
            <w:tcW w:w="0" w:type="auto"/>
            <w:tcBorders>
              <w:top w:val="single" w:color="000000" w:sz="8" w:space="0"/>
              <w:left w:val="single" w:color="000000" w:sz="8" w:space="0"/>
              <w:bottom w:val="single" w:color="000000" w:sz="8" w:space="0"/>
              <w:right w:val="single" w:color="000000" w:sz="8" w:space="0"/>
            </w:tcBorders>
          </w:tcPr>
          <w:p w14:paraId="41D0F95C">
            <w:pPr>
              <w:rPr>
                <w:rFonts w:ascii="宋体" w:hAnsi="宋体" w:cs="宋体"/>
                <w:szCs w:val="21"/>
              </w:rPr>
            </w:pPr>
            <w:r>
              <w:rPr>
                <w:rFonts w:hint="eastAsia" w:ascii="宋体" w:hAnsi="宋体" w:cs="宋体"/>
                <w:szCs w:val="21"/>
              </w:rPr>
              <w:t>投标文件不存在电子文档带病毒或使用其他投标人的电子密钥</w:t>
            </w:r>
            <w:r>
              <w:rPr>
                <w:rFonts w:hint="eastAsia" w:ascii="宋体" w:hAnsi="宋体" w:cs="宋体"/>
              </w:rPr>
              <w:t>或电子营业执照</w:t>
            </w:r>
            <w:r>
              <w:rPr>
                <w:rFonts w:hint="eastAsia" w:ascii="宋体" w:hAnsi="宋体" w:cs="宋体"/>
                <w:szCs w:val="21"/>
              </w:rPr>
              <w:t>进行加密的情形</w:t>
            </w:r>
          </w:p>
        </w:tc>
      </w:tr>
      <w:tr w14:paraId="49EC0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61E8864">
            <w:pPr>
              <w:jc w:val="center"/>
              <w:rPr>
                <w:rFonts w:ascii="宋体" w:hAnsi="宋体" w:cs="宋体"/>
                <w:szCs w:val="21"/>
              </w:rPr>
            </w:pPr>
            <w:r>
              <w:rPr>
                <w:rFonts w:hint="eastAsia" w:ascii="宋体" w:hAnsi="宋体" w:cs="宋体"/>
                <w:szCs w:val="21"/>
              </w:rPr>
              <w:t>11</w:t>
            </w:r>
          </w:p>
        </w:tc>
        <w:tc>
          <w:tcPr>
            <w:tcW w:w="0" w:type="auto"/>
            <w:tcBorders>
              <w:top w:val="single" w:color="000000" w:sz="8" w:space="0"/>
              <w:left w:val="single" w:color="000000" w:sz="8" w:space="0"/>
              <w:bottom w:val="single" w:color="000000" w:sz="8" w:space="0"/>
              <w:right w:val="single" w:color="000000" w:sz="8" w:space="0"/>
            </w:tcBorders>
          </w:tcPr>
          <w:p w14:paraId="781DD52E">
            <w:pPr>
              <w:rPr>
                <w:rFonts w:ascii="宋体" w:hAnsi="宋体" w:cs="宋体"/>
                <w:szCs w:val="21"/>
              </w:rPr>
            </w:pPr>
            <w:r>
              <w:rPr>
                <w:rFonts w:hint="eastAsia" w:ascii="宋体" w:hAnsi="宋体" w:cs="宋体"/>
              </w:rPr>
              <w:t>不同投标人的投标文件不存在“文件制作机器码”一致或</w:t>
            </w:r>
            <w:r>
              <w:rPr>
                <w:rFonts w:hint="eastAsia" w:ascii="宋体" w:hAnsi="宋体" w:cs="宋体"/>
                <w:szCs w:val="24"/>
              </w:rPr>
              <w:t>“文件创建标识码”一致的情形</w:t>
            </w:r>
          </w:p>
        </w:tc>
      </w:tr>
      <w:tr w14:paraId="0E692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360B0A3">
            <w:pPr>
              <w:jc w:val="center"/>
              <w:rPr>
                <w:rFonts w:ascii="宋体" w:hAnsi="宋体" w:cs="宋体"/>
                <w:szCs w:val="21"/>
              </w:rPr>
            </w:pPr>
            <w:r>
              <w:rPr>
                <w:rFonts w:hint="eastAsia" w:ascii="宋体" w:hAnsi="宋体" w:cs="宋体"/>
                <w:szCs w:val="21"/>
              </w:rPr>
              <w:t>12</w:t>
            </w:r>
          </w:p>
        </w:tc>
        <w:tc>
          <w:tcPr>
            <w:tcW w:w="0" w:type="auto"/>
            <w:tcBorders>
              <w:top w:val="single" w:color="000000" w:sz="8" w:space="0"/>
              <w:left w:val="single" w:color="000000" w:sz="8" w:space="0"/>
              <w:bottom w:val="single" w:color="000000" w:sz="8" w:space="0"/>
              <w:right w:val="single" w:color="000000" w:sz="8" w:space="0"/>
            </w:tcBorders>
          </w:tcPr>
          <w:p w14:paraId="6BA99CF3">
            <w:pPr>
              <w:rPr>
                <w:rFonts w:ascii="宋体" w:hAnsi="宋体" w:cs="宋体"/>
                <w:szCs w:val="21"/>
              </w:rPr>
            </w:pPr>
            <w:r>
              <w:rPr>
                <w:rFonts w:hint="eastAsia" w:ascii="宋体" w:hAnsi="宋体" w:cs="宋体"/>
                <w:szCs w:val="24"/>
              </w:rPr>
              <w:t>法律、法规、规章、规范性文件规定的其他情形</w:t>
            </w:r>
          </w:p>
        </w:tc>
      </w:tr>
    </w:tbl>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C9E3C7D">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1、投标人须在开标当日的开标时间至解密截止时间内完成投标文件在线解密，逾期未解密的作无效处理。</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2、投标人不符合《资格性审查表》或《符合性审查表》中任一情形的，初审不通过，投标无效。</w:t>
      </w:r>
    </w:p>
    <w:p w14:paraId="0386454B">
      <w:pPr>
        <w:spacing w:line="324" w:lineRule="auto"/>
        <w:ind w:firstLine="420"/>
        <w:rPr>
          <w:rFonts w:asciiTheme="minorEastAsia" w:hAnsiTheme="minorEastAsia" w:eastAsiaTheme="minorEastAsia"/>
          <w:b/>
          <w:color w:val="FF0000"/>
          <w:szCs w:val="21"/>
        </w:rPr>
      </w:pPr>
    </w:p>
    <w:p w14:paraId="0BF6D41C">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Layout w:type="autofit"/>
        <w:tblCellMar>
          <w:top w:w="45" w:type="dxa"/>
          <w:left w:w="45" w:type="dxa"/>
          <w:bottom w:w="45" w:type="dxa"/>
          <w:right w:w="45" w:type="dxa"/>
        </w:tblCellMar>
      </w:tblPr>
      <w:tblGrid>
        <w:gridCol w:w="8824"/>
        <w:gridCol w:w="248"/>
      </w:tblGrid>
      <w:tr w14:paraId="61973B73">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7AC905CA">
            <w:pPr>
              <w:rPr>
                <w:rFonts w:ascii="宋体" w:hAnsi="宋体" w:cs="宋体"/>
                <w:b/>
                <w:bCs/>
                <w:sz w:val="24"/>
                <w:szCs w:val="24"/>
              </w:rPr>
            </w:pPr>
            <w:r>
              <w:rPr>
                <w:b/>
                <w:bCs/>
              </w:rPr>
              <w:t>评标方法：综合评分法（新价格分算法）</w:t>
            </w:r>
          </w:p>
        </w:tc>
        <w:tc>
          <w:tcPr>
            <w:tcW w:w="0" w:type="auto"/>
            <w:tcBorders>
              <w:top w:val="nil"/>
              <w:left w:val="nil"/>
              <w:bottom w:val="nil"/>
              <w:right w:val="nil"/>
            </w:tcBorders>
            <w:vAlign w:val="center"/>
          </w:tcPr>
          <w:p w14:paraId="14BDF8C5">
            <w:pPr>
              <w:jc w:val="right"/>
              <w:rPr>
                <w:rFonts w:ascii="宋体" w:hAnsi="宋体" w:cs="宋体"/>
                <w:b/>
                <w:bCs/>
                <w:sz w:val="24"/>
                <w:szCs w:val="24"/>
              </w:rPr>
            </w:pPr>
          </w:p>
        </w:tc>
      </w:tr>
      <w:tr w14:paraId="57668ECB">
        <w:tblPrEx>
          <w:tblCellMar>
            <w:top w:w="45" w:type="dxa"/>
            <w:left w:w="45" w:type="dxa"/>
            <w:bottom w:w="45" w:type="dxa"/>
            <w:right w:w="45" w:type="dxa"/>
          </w:tblCellMar>
        </w:tblPrEx>
        <w:trPr>
          <w:tblCellSpacing w:w="0" w:type="dxa"/>
          <w:jc w:val="center"/>
        </w:trPr>
        <w:tc>
          <w:tcPr>
            <w:tcW w:w="0" w:type="auto"/>
            <w:gridSpan w:val="2"/>
            <w:tcBorders>
              <w:top w:val="nil"/>
              <w:left w:val="nil"/>
              <w:bottom w:val="nil"/>
              <w:right w:val="nil"/>
            </w:tcBorders>
            <w:vAlign w:val="center"/>
          </w:tcPr>
          <w:p w14:paraId="30590C49">
            <w:pPr>
              <w:pStyle w:val="37"/>
              <w:spacing w:line="324" w:lineRule="auto"/>
              <w:ind w:firstLine="420"/>
              <w:rPr>
                <w:sz w:val="21"/>
                <w:szCs w:val="21"/>
              </w:rPr>
            </w:pPr>
            <w:r>
              <w:rPr>
                <w:sz w:val="21"/>
                <w:szCs w:val="21"/>
              </w:rPr>
              <w:t>综合评分法，是指</w:t>
            </w:r>
            <w:r>
              <w:rPr>
                <w:rFonts w:hint="eastAsia"/>
                <w:sz w:val="21"/>
                <w:szCs w:val="21"/>
              </w:rPr>
              <w:t>在最大限度地满足招标文件实质性要求的前提下，按照招标文件中规定的各项因素进行综合评审，评标总得分排名前列的投标人，作为推荐的候选中标供应商</w:t>
            </w:r>
            <w:r>
              <w:rPr>
                <w:sz w:val="21"/>
                <w:szCs w:val="21"/>
              </w:rPr>
              <w:t xml:space="preserve">。 </w:t>
            </w:r>
          </w:p>
          <w:p w14:paraId="19CF142F">
            <w:pPr>
              <w:pStyle w:val="37"/>
              <w:ind w:firstLine="420"/>
              <w:rPr>
                <w:sz w:val="21"/>
                <w:szCs w:val="21"/>
              </w:rPr>
            </w:pPr>
            <w:r>
              <w:rPr>
                <w:sz w:val="21"/>
                <w:szCs w:val="21"/>
              </w:rPr>
              <w:t>价格分计算方法：</w:t>
            </w:r>
          </w:p>
          <w:p w14:paraId="4E700542">
            <w:pPr>
              <w:pStyle w:val="37"/>
              <w:spacing w:line="324" w:lineRule="auto"/>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 xml:space="preserve">评标过程中，不得去掉报价中的最高报价和最低报价。 </w:t>
            </w:r>
            <w:r>
              <w:rPr>
                <w:sz w:val="21"/>
                <w:szCs w:val="21"/>
              </w:rPr>
              <w:br w:type="textWrapping"/>
            </w:r>
            <w:r>
              <w:rPr>
                <w:rFonts w:hint="eastAsia"/>
                <w:sz w:val="21"/>
                <w:szCs w:val="21"/>
              </w:rPr>
              <w:t>因落实政府采购政策进行价格调整的，以调整后的价格计算评标基准价和投标报价</w:t>
            </w:r>
            <w:r>
              <w:rPr>
                <w:sz w:val="21"/>
                <w:szCs w:val="21"/>
              </w:rPr>
              <w:t xml:space="preserve">。 </w:t>
            </w:r>
          </w:p>
        </w:tc>
      </w:tr>
    </w:tbl>
    <w:p w14:paraId="5654881C">
      <w:pPr>
        <w:rPr>
          <w:vanish/>
        </w:rPr>
      </w:pPr>
    </w:p>
    <w:tbl>
      <w:tblPr>
        <w:tblStyle w:val="42"/>
        <w:tblW w:w="96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2835"/>
        <w:gridCol w:w="681"/>
        <w:gridCol w:w="4763"/>
      </w:tblGrid>
      <w:tr w14:paraId="67E0D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C03E3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663CCBF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476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B655B7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权重(%)</w:t>
            </w:r>
          </w:p>
        </w:tc>
      </w:tr>
      <w:tr w14:paraId="436C6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right w:val="single" w:color="000000" w:sz="8" w:space="0"/>
            </w:tcBorders>
          </w:tcPr>
          <w:p w14:paraId="2C929EB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055296A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4763" w:type="dxa"/>
            <w:tcBorders>
              <w:top w:val="single" w:color="000000" w:sz="8" w:space="0"/>
              <w:left w:val="single" w:color="000000" w:sz="8" w:space="0"/>
              <w:bottom w:val="single" w:color="000000" w:sz="8" w:space="0"/>
              <w:right w:val="single" w:color="000000" w:sz="8" w:space="0"/>
            </w:tcBorders>
          </w:tcPr>
          <w:p w14:paraId="089CA04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15</w:t>
            </w:r>
          </w:p>
        </w:tc>
      </w:tr>
      <w:tr w14:paraId="369EB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396B902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187E3D5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w:t>
            </w:r>
          </w:p>
        </w:tc>
        <w:tc>
          <w:tcPr>
            <w:tcW w:w="4763" w:type="dxa"/>
            <w:tcBorders>
              <w:top w:val="single" w:color="000000" w:sz="8" w:space="0"/>
              <w:left w:val="single" w:color="000000" w:sz="8" w:space="0"/>
              <w:bottom w:val="single" w:color="000000" w:sz="8" w:space="0"/>
              <w:right w:val="single" w:color="000000" w:sz="8" w:space="0"/>
            </w:tcBorders>
          </w:tcPr>
          <w:p w14:paraId="3CE14FE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49</w:t>
            </w:r>
          </w:p>
        </w:tc>
      </w:tr>
      <w:tr w14:paraId="3AB8A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6F0024CE">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3DB9AA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4A7B45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2C903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47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34830D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10A37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3A63EAA6">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2463A21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6FC88F77">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项目服务方案</w:t>
            </w:r>
          </w:p>
        </w:tc>
        <w:tc>
          <w:tcPr>
            <w:tcW w:w="681" w:type="dxa"/>
            <w:tcBorders>
              <w:top w:val="single" w:color="000000" w:sz="8" w:space="0"/>
              <w:left w:val="single" w:color="000000" w:sz="8" w:space="0"/>
              <w:bottom w:val="single" w:color="000000" w:sz="8" w:space="0"/>
              <w:right w:val="single" w:color="000000" w:sz="8" w:space="0"/>
            </w:tcBorders>
          </w:tcPr>
          <w:p w14:paraId="0728996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4763" w:type="dxa"/>
            <w:tcBorders>
              <w:top w:val="single" w:color="000000" w:sz="8" w:space="0"/>
              <w:left w:val="single" w:color="000000" w:sz="8" w:space="0"/>
              <w:bottom w:val="single" w:color="000000" w:sz="8" w:space="0"/>
              <w:right w:val="single" w:color="000000" w:sz="8" w:space="0"/>
            </w:tcBorders>
          </w:tcPr>
          <w:p w14:paraId="316C2799">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A6084D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考察投标人提供的项目服务方案，包含以下内容：</w:t>
            </w:r>
          </w:p>
          <w:p w14:paraId="7DB7FFA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1、对</w:t>
            </w:r>
            <w:r>
              <w:rPr>
                <w:rFonts w:hint="eastAsia" w:ascii="宋体" w:hAnsi="宋体" w:eastAsia="宋体" w:cs="宋体"/>
                <w:sz w:val="21"/>
                <w:szCs w:val="21"/>
              </w:rPr>
              <w:t>项目服务需求的理解</w:t>
            </w:r>
            <w:r>
              <w:rPr>
                <w:rFonts w:hint="eastAsia" w:ascii="宋体" w:hAnsi="宋体" w:eastAsia="宋体" w:cs="宋体"/>
                <w:kern w:val="0"/>
                <w:sz w:val="21"/>
                <w:szCs w:val="21"/>
              </w:rPr>
              <w:t>；</w:t>
            </w:r>
          </w:p>
          <w:p w14:paraId="136A435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2、项目实施计划；</w:t>
            </w:r>
          </w:p>
          <w:p w14:paraId="7E7C71A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项目管理服务承诺</w:t>
            </w:r>
            <w:r>
              <w:rPr>
                <w:rFonts w:hint="eastAsia" w:ascii="宋体" w:hAnsi="宋体" w:eastAsia="宋体" w:cs="宋体"/>
                <w:kern w:val="0"/>
                <w:sz w:val="21"/>
                <w:szCs w:val="21"/>
              </w:rPr>
              <w:t>。</w:t>
            </w:r>
          </w:p>
          <w:p w14:paraId="0887532F">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9C71403">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09932B5E">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方案包含以上三项内容得30分；包含以上二项内容得20分；包含以上一项内容得10分；其他情况不得分。在此基础上，根据方案响应情况进一步评审：</w:t>
            </w:r>
          </w:p>
          <w:p w14:paraId="1BB3C210">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1.优评分标准：需求理解全面、具体，实施计划可行性高，服务承诺科学合理，加70分；</w:t>
            </w:r>
          </w:p>
          <w:p w14:paraId="03840BD6">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2.良评分标准：需求理解比较全面，实施计划可行性较高，服务承诺较合理，加40分；</w:t>
            </w:r>
          </w:p>
          <w:p w14:paraId="5BFF94B4">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3.中评分标准：需求理解不够全面，实施计划可行性一般，服务承诺不够合理，加10分；</w:t>
            </w:r>
          </w:p>
          <w:p w14:paraId="502E7C33">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4.差评分标准：需求理解不全面，实施计划可行性低，服务承诺不合理，不加分。</w:t>
            </w:r>
          </w:p>
          <w:p w14:paraId="06C53E7C">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如果评审为差,要求评委书面说明理由,并记录在档。</w:t>
            </w:r>
          </w:p>
        </w:tc>
      </w:tr>
      <w:tr w14:paraId="14D5C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5CAB386E">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6364D07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41A03DA5">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项目重点难点分析、应对措施及相关的合理化建议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tcPr>
          <w:p w14:paraId="1873C77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4763" w:type="dxa"/>
            <w:tcBorders>
              <w:top w:val="single" w:color="000000" w:sz="8" w:space="0"/>
              <w:left w:val="single" w:color="000000" w:sz="8" w:space="0"/>
              <w:bottom w:val="single" w:color="000000" w:sz="8" w:space="0"/>
              <w:right w:val="single" w:color="000000" w:sz="8" w:space="0"/>
            </w:tcBorders>
          </w:tcPr>
          <w:p w14:paraId="7EF161CB">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87AB57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14:paraId="495F16CF">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1、项目重点难点分析；</w:t>
            </w:r>
          </w:p>
          <w:p w14:paraId="5F18E929">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2、针对项目重点难点逐项提出应对措施；</w:t>
            </w:r>
          </w:p>
          <w:p w14:paraId="4547114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3、相关的合理化建议。</w:t>
            </w:r>
          </w:p>
          <w:p w14:paraId="6A613AED">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5D1CB3E3">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4F85B387">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方案包含以上三项内容得30分；包含以上二项内容得20分；包含以上一项内容得10分；其他情况不得分。在此基础上，根据方案响应情况进一步评审：</w:t>
            </w:r>
          </w:p>
          <w:p w14:paraId="05562703">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1.优评分标准：</w:t>
            </w:r>
            <w:r>
              <w:rPr>
                <w:rFonts w:hint="eastAsia" w:ascii="宋体" w:hAnsi="宋体" w:eastAsia="宋体" w:cs="宋体"/>
                <w:kern w:val="0"/>
                <w:sz w:val="21"/>
                <w:szCs w:val="21"/>
              </w:rPr>
              <w:t>重点难点分析全面，应对措施可行性高，相关建议科学合理</w:t>
            </w:r>
            <w:r>
              <w:rPr>
                <w:rFonts w:hint="eastAsia" w:ascii="宋体" w:hAnsi="宋体" w:eastAsia="宋体" w:cs="宋体"/>
                <w:sz w:val="21"/>
                <w:szCs w:val="21"/>
              </w:rPr>
              <w:t>，加70分；</w:t>
            </w:r>
          </w:p>
          <w:p w14:paraId="188B1325">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2.良评分标准：</w:t>
            </w:r>
            <w:r>
              <w:rPr>
                <w:rFonts w:hint="eastAsia" w:ascii="宋体" w:hAnsi="宋体" w:eastAsia="宋体" w:cs="宋体"/>
                <w:kern w:val="0"/>
                <w:sz w:val="21"/>
                <w:szCs w:val="21"/>
              </w:rPr>
              <w:t>重点难点分析比较全面，应对措施可行性较高，相关建议比较合理</w:t>
            </w:r>
            <w:r>
              <w:rPr>
                <w:rFonts w:hint="eastAsia" w:ascii="宋体" w:hAnsi="宋体" w:eastAsia="宋体" w:cs="宋体"/>
                <w:sz w:val="21"/>
                <w:szCs w:val="21"/>
              </w:rPr>
              <w:t>，加40分；</w:t>
            </w:r>
          </w:p>
          <w:p w14:paraId="1C0661B5">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3.中评分标准：</w:t>
            </w:r>
            <w:r>
              <w:rPr>
                <w:rFonts w:hint="eastAsia" w:ascii="宋体" w:hAnsi="宋体" w:eastAsia="宋体" w:cs="宋体"/>
                <w:kern w:val="0"/>
                <w:sz w:val="21"/>
                <w:szCs w:val="21"/>
              </w:rPr>
              <w:t>重点难点分析不够全面，应对措施可行性一般，相关建议不够合理</w:t>
            </w:r>
            <w:r>
              <w:rPr>
                <w:rFonts w:hint="eastAsia" w:ascii="宋体" w:hAnsi="宋体" w:eastAsia="宋体" w:cs="宋体"/>
                <w:sz w:val="21"/>
                <w:szCs w:val="21"/>
              </w:rPr>
              <w:t>，加10分；</w:t>
            </w:r>
          </w:p>
          <w:p w14:paraId="39A538EA">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4.差评分标准：</w:t>
            </w:r>
            <w:r>
              <w:rPr>
                <w:rFonts w:hint="eastAsia" w:ascii="宋体" w:hAnsi="宋体" w:eastAsia="宋体" w:cs="宋体"/>
                <w:kern w:val="0"/>
                <w:sz w:val="21"/>
                <w:szCs w:val="21"/>
              </w:rPr>
              <w:t>重点难点分析不全面，应对措施可行性低，相关建议不合理</w:t>
            </w:r>
            <w:r>
              <w:rPr>
                <w:rFonts w:hint="eastAsia" w:ascii="宋体" w:hAnsi="宋体" w:eastAsia="宋体" w:cs="宋体"/>
                <w:sz w:val="21"/>
                <w:szCs w:val="21"/>
              </w:rPr>
              <w:t>，不加分。</w:t>
            </w:r>
          </w:p>
          <w:p w14:paraId="22C4F7C2">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如果评审为差,要求评委书面说明理由,并记录在档。</w:t>
            </w:r>
          </w:p>
        </w:tc>
      </w:tr>
      <w:tr w14:paraId="268343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6491CDB9">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3970B2D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78226297">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质量保障措施及方案</w:t>
            </w:r>
          </w:p>
        </w:tc>
        <w:tc>
          <w:tcPr>
            <w:tcW w:w="681" w:type="dxa"/>
            <w:tcBorders>
              <w:top w:val="single" w:color="000000" w:sz="8" w:space="0"/>
              <w:left w:val="single" w:color="000000" w:sz="8" w:space="0"/>
              <w:bottom w:val="single" w:color="000000" w:sz="8" w:space="0"/>
              <w:right w:val="single" w:color="000000" w:sz="8" w:space="0"/>
            </w:tcBorders>
          </w:tcPr>
          <w:p w14:paraId="5AC8656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4763" w:type="dxa"/>
            <w:tcBorders>
              <w:top w:val="single" w:color="000000" w:sz="8" w:space="0"/>
              <w:left w:val="single" w:color="000000" w:sz="8" w:space="0"/>
              <w:bottom w:val="single" w:color="000000" w:sz="8" w:space="0"/>
              <w:right w:val="single" w:color="000000" w:sz="8" w:space="0"/>
            </w:tcBorders>
          </w:tcPr>
          <w:p w14:paraId="7D8F1859">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0EDB42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14:paraId="5FAC2DF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1、项目质量管理制度；</w:t>
            </w:r>
          </w:p>
          <w:p w14:paraId="1E1B66D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2、服务质量检查、整改方案；</w:t>
            </w:r>
          </w:p>
          <w:p w14:paraId="5C6F0C59">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3、项目进度管理及措施；</w:t>
            </w:r>
          </w:p>
          <w:p w14:paraId="6E629C9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4、项目成果保障措施。</w:t>
            </w:r>
          </w:p>
          <w:p w14:paraId="3FB11999">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299B3712">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40586F39">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方案包含以上四项内容得40分，包含以上三项内容得30分；包含以上二项内容得20分；包含以上一项内容得10分；其他情况不得分。在此基础上，根据方案响应情况进一步评审：</w:t>
            </w:r>
          </w:p>
          <w:p w14:paraId="3E276B5F">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1.优评分标准：</w:t>
            </w:r>
            <w:r>
              <w:rPr>
                <w:rFonts w:hint="eastAsia" w:ascii="宋体" w:hAnsi="宋体" w:eastAsia="宋体" w:cs="宋体"/>
                <w:kern w:val="0"/>
                <w:sz w:val="21"/>
                <w:szCs w:val="21"/>
              </w:rPr>
              <w:t>质量管理制度科学完善，质量检查、整改方案、项目进度管理及措施和项目成果保障措施可行性高</w:t>
            </w:r>
            <w:r>
              <w:rPr>
                <w:rFonts w:hint="eastAsia" w:ascii="宋体" w:hAnsi="宋体" w:eastAsia="宋体" w:cs="宋体"/>
                <w:sz w:val="21"/>
                <w:szCs w:val="21"/>
              </w:rPr>
              <w:t>，加60分；</w:t>
            </w:r>
          </w:p>
          <w:p w14:paraId="5897548C">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2.良评分标准：</w:t>
            </w:r>
            <w:r>
              <w:rPr>
                <w:rFonts w:hint="eastAsia" w:ascii="宋体" w:hAnsi="宋体" w:eastAsia="宋体" w:cs="宋体"/>
                <w:kern w:val="0"/>
                <w:sz w:val="21"/>
                <w:szCs w:val="21"/>
              </w:rPr>
              <w:t>质量管理制度比较完善，质量检查、整改方案、项目进度管理及措施和项目成果保障措施可行性较高</w:t>
            </w:r>
            <w:r>
              <w:rPr>
                <w:rFonts w:hint="eastAsia" w:ascii="宋体" w:hAnsi="宋体" w:eastAsia="宋体" w:cs="宋体"/>
                <w:sz w:val="21"/>
                <w:szCs w:val="21"/>
              </w:rPr>
              <w:t>，加35分；</w:t>
            </w:r>
          </w:p>
          <w:p w14:paraId="15E19180">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3.中评分标准：</w:t>
            </w:r>
            <w:r>
              <w:rPr>
                <w:rFonts w:hint="eastAsia" w:ascii="宋体" w:hAnsi="宋体" w:eastAsia="宋体" w:cs="宋体"/>
                <w:kern w:val="0"/>
                <w:sz w:val="21"/>
                <w:szCs w:val="21"/>
              </w:rPr>
              <w:t>质量管理制度不够完善，质量检查、整改方案、项目进度管理及措施和项目成果保障措施可行性一般</w:t>
            </w:r>
            <w:r>
              <w:rPr>
                <w:rFonts w:hint="eastAsia" w:ascii="宋体" w:hAnsi="宋体" w:eastAsia="宋体" w:cs="宋体"/>
                <w:sz w:val="21"/>
                <w:szCs w:val="21"/>
              </w:rPr>
              <w:t>，加10分；</w:t>
            </w:r>
          </w:p>
          <w:p w14:paraId="6C4FDBEF">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4.差评分标准：</w:t>
            </w:r>
            <w:r>
              <w:rPr>
                <w:rFonts w:hint="eastAsia" w:ascii="宋体" w:hAnsi="宋体" w:eastAsia="宋体" w:cs="宋体"/>
                <w:kern w:val="0"/>
                <w:sz w:val="21"/>
                <w:szCs w:val="21"/>
              </w:rPr>
              <w:t>质量管理制度不完善，质量检查、整改方案、项目进度管理及措施和项目成果保障措施可行性低</w:t>
            </w:r>
            <w:r>
              <w:rPr>
                <w:rFonts w:hint="eastAsia" w:ascii="宋体" w:hAnsi="宋体" w:eastAsia="宋体" w:cs="宋体"/>
                <w:sz w:val="21"/>
                <w:szCs w:val="21"/>
              </w:rPr>
              <w:t>，不加分。</w:t>
            </w:r>
          </w:p>
          <w:p w14:paraId="21B9B9ED">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如果评审为差,要求评委书面说明理由,并记录在档。</w:t>
            </w:r>
          </w:p>
        </w:tc>
      </w:tr>
      <w:tr w14:paraId="27C9B7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0BB53AB4">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20D3D2D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7961511B">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采购需求响应情况</w:t>
            </w:r>
          </w:p>
        </w:tc>
        <w:tc>
          <w:tcPr>
            <w:tcW w:w="681" w:type="dxa"/>
            <w:tcBorders>
              <w:top w:val="single" w:color="000000" w:sz="8" w:space="0"/>
              <w:left w:val="single" w:color="000000" w:sz="8" w:space="0"/>
              <w:bottom w:val="single" w:color="000000" w:sz="8" w:space="0"/>
              <w:right w:val="single" w:color="000000" w:sz="8" w:space="0"/>
            </w:tcBorders>
          </w:tcPr>
          <w:p w14:paraId="08E11E1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763" w:type="dxa"/>
            <w:tcBorders>
              <w:top w:val="single" w:color="000000" w:sz="8" w:space="0"/>
              <w:left w:val="single" w:color="000000" w:sz="8" w:space="0"/>
              <w:bottom w:val="single" w:color="000000" w:sz="8" w:space="0"/>
              <w:right w:val="single" w:color="000000" w:sz="8" w:space="0"/>
            </w:tcBorders>
          </w:tcPr>
          <w:p w14:paraId="6C5A027B">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22881F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kern w:val="0"/>
                <w:sz w:val="21"/>
                <w:szCs w:val="21"/>
              </w:rPr>
              <w:t>投标人应如实填写《服务要求偏离表》和《</w:t>
            </w:r>
            <w:r>
              <w:rPr>
                <w:rFonts w:hint="eastAsia" w:ascii="宋体" w:hAnsi="宋体" w:eastAsia="宋体" w:cs="宋体"/>
                <w:sz w:val="21"/>
                <w:szCs w:val="21"/>
              </w:rPr>
              <w:t>商务要求偏离表</w:t>
            </w:r>
            <w:r>
              <w:rPr>
                <w:rFonts w:hint="eastAsia" w:ascii="宋体" w:hAnsi="宋体" w:eastAsia="宋体" w:cs="宋体"/>
                <w:kern w:val="0"/>
                <w:sz w:val="21"/>
                <w:szCs w:val="21"/>
              </w:rPr>
              <w:t>》，各项需求全部满足的得100分；“▲”需求为重要需求，每负偏离一项扣</w:t>
            </w:r>
            <w:r>
              <w:rPr>
                <w:rFonts w:hint="eastAsia" w:ascii="宋体" w:hAnsi="宋体" w:cs="宋体"/>
                <w:kern w:val="0"/>
                <w:sz w:val="21"/>
                <w:szCs w:val="21"/>
                <w:lang w:val="en-US" w:eastAsia="zh-CN"/>
              </w:rPr>
              <w:t>5.2</w:t>
            </w:r>
            <w:r>
              <w:rPr>
                <w:rFonts w:hint="eastAsia" w:ascii="宋体" w:hAnsi="宋体" w:eastAsia="宋体" w:cs="宋体"/>
                <w:kern w:val="0"/>
                <w:sz w:val="21"/>
                <w:szCs w:val="21"/>
              </w:rPr>
              <w:t>分</w:t>
            </w:r>
            <w:r>
              <w:rPr>
                <w:rFonts w:hint="eastAsia" w:ascii="宋体" w:hAnsi="宋体" w:cs="宋体"/>
                <w:kern w:val="0"/>
                <w:sz w:val="21"/>
                <w:szCs w:val="21"/>
                <w:lang w:eastAsia="zh-CN"/>
              </w:rPr>
              <w:t>；</w:t>
            </w:r>
            <w:r>
              <w:rPr>
                <w:rFonts w:hint="eastAsia" w:ascii="宋体" w:hAnsi="宋体" w:eastAsia="宋体" w:cs="宋体"/>
                <w:kern w:val="0"/>
                <w:sz w:val="21"/>
                <w:szCs w:val="21"/>
              </w:rPr>
              <w:t>其余需求每负偏离一项扣</w:t>
            </w:r>
            <w:r>
              <w:rPr>
                <w:rFonts w:hint="eastAsia" w:ascii="宋体" w:hAnsi="宋体" w:cs="宋体"/>
                <w:kern w:val="0"/>
                <w:sz w:val="21"/>
                <w:szCs w:val="21"/>
                <w:lang w:val="en-US" w:eastAsia="zh-CN"/>
              </w:rPr>
              <w:t>2.2</w:t>
            </w:r>
            <w:r>
              <w:rPr>
                <w:rFonts w:hint="eastAsia" w:ascii="宋体" w:hAnsi="宋体" w:eastAsia="宋体" w:cs="宋体"/>
                <w:kern w:val="0"/>
                <w:sz w:val="21"/>
                <w:szCs w:val="21"/>
              </w:rPr>
              <w:t>分</w:t>
            </w:r>
            <w:r>
              <w:rPr>
                <w:rFonts w:hint="eastAsia" w:ascii="宋体" w:hAnsi="宋体" w:cs="宋体"/>
                <w:sz w:val="21"/>
                <w:szCs w:val="21"/>
                <w:lang w:eastAsia="zh-CN"/>
              </w:rPr>
              <w:t>；</w:t>
            </w:r>
            <w:r>
              <w:rPr>
                <w:rFonts w:hint="eastAsia" w:ascii="宋体" w:hAnsi="宋体" w:eastAsia="宋体" w:cs="宋体"/>
                <w:kern w:val="0"/>
                <w:sz w:val="21"/>
                <w:szCs w:val="21"/>
              </w:rPr>
              <w:t>最低0分。</w:t>
            </w:r>
          </w:p>
          <w:p w14:paraId="51957991">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57E179B8">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C47178A">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以投标文件《服务条款偏离表》</w:t>
            </w:r>
            <w:r>
              <w:rPr>
                <w:rFonts w:hint="eastAsia" w:ascii="宋体" w:hAnsi="宋体" w:eastAsia="宋体" w:cs="宋体"/>
                <w:kern w:val="0"/>
                <w:sz w:val="21"/>
                <w:szCs w:val="21"/>
              </w:rPr>
              <w:t>和《</w:t>
            </w:r>
            <w:r>
              <w:rPr>
                <w:rFonts w:hint="eastAsia" w:ascii="宋体" w:hAnsi="宋体" w:eastAsia="宋体" w:cs="宋体"/>
                <w:sz w:val="21"/>
                <w:szCs w:val="21"/>
              </w:rPr>
              <w:t>商务要求偏离表</w:t>
            </w:r>
            <w:r>
              <w:rPr>
                <w:rFonts w:hint="eastAsia" w:ascii="宋体" w:hAnsi="宋体" w:eastAsia="宋体" w:cs="宋体"/>
                <w:kern w:val="0"/>
                <w:sz w:val="21"/>
                <w:szCs w:val="21"/>
              </w:rPr>
              <w:t>》</w:t>
            </w:r>
            <w:r>
              <w:rPr>
                <w:rFonts w:hint="eastAsia" w:ascii="宋体" w:hAnsi="宋体" w:eastAsia="宋体" w:cs="宋体"/>
                <w:sz w:val="21"/>
                <w:szCs w:val="21"/>
              </w:rPr>
              <w:t>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服务内容按负偏离处理。项目要求中包含子项参数的，按子项参数响应情况逐项评分。</w:t>
            </w:r>
          </w:p>
        </w:tc>
      </w:tr>
      <w:tr w14:paraId="03F46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bottom w:val="single" w:color="000000" w:sz="8" w:space="0"/>
              <w:right w:val="single" w:color="000000" w:sz="8" w:space="0"/>
            </w:tcBorders>
            <w:vAlign w:val="center"/>
          </w:tcPr>
          <w:p w14:paraId="6432F639">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398805D7">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835" w:type="dxa"/>
            <w:tcBorders>
              <w:top w:val="single" w:color="000000" w:sz="8" w:space="0"/>
              <w:left w:val="single" w:color="000000" w:sz="8" w:space="0"/>
              <w:bottom w:val="single" w:color="000000" w:sz="8" w:space="0"/>
              <w:right w:val="single" w:color="000000" w:sz="8" w:space="0"/>
            </w:tcBorders>
          </w:tcPr>
          <w:p w14:paraId="7B8AA4BF">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本项目的专用设备配置</w:t>
            </w:r>
          </w:p>
        </w:tc>
        <w:tc>
          <w:tcPr>
            <w:tcW w:w="681" w:type="dxa"/>
            <w:tcBorders>
              <w:top w:val="single" w:color="000000" w:sz="8" w:space="0"/>
              <w:left w:val="single" w:color="000000" w:sz="8" w:space="0"/>
              <w:bottom w:val="single" w:color="000000" w:sz="8" w:space="0"/>
              <w:right w:val="single" w:color="000000" w:sz="8" w:space="0"/>
            </w:tcBorders>
          </w:tcPr>
          <w:p w14:paraId="7A9B53F7">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4763" w:type="dxa"/>
            <w:tcBorders>
              <w:top w:val="single" w:color="000000" w:sz="8" w:space="0"/>
              <w:left w:val="single" w:color="000000" w:sz="8" w:space="0"/>
              <w:bottom w:val="single" w:color="000000" w:sz="8" w:space="0"/>
              <w:right w:val="single" w:color="000000" w:sz="8" w:space="0"/>
            </w:tcBorders>
          </w:tcPr>
          <w:p w14:paraId="41E0EAF8">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E6E067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投标人提供专用设备（包括：照度计、温湿度计、数字压差计、风速仪、声级计、尘埃粒子计数器、风量测试仪、远红外温度检测仪、超声波流量计），并同时提供上述专用设备</w:t>
            </w:r>
            <w:r>
              <w:rPr>
                <w:rFonts w:hint="eastAsia" w:ascii="宋体" w:hAnsi="宋体" w:eastAsia="宋体" w:cs="宋体"/>
                <w:color w:val="auto"/>
                <w:sz w:val="21"/>
                <w:szCs w:val="21"/>
              </w:rPr>
              <w:t>由具有检测校准合格证的检测单位出具的校准证书</w:t>
            </w:r>
            <w:r>
              <w:rPr>
                <w:rFonts w:hint="eastAsia" w:ascii="宋体" w:hAnsi="宋体" w:cs="宋体"/>
                <w:color w:val="auto"/>
                <w:sz w:val="21"/>
                <w:szCs w:val="21"/>
                <w:lang w:val="en-US" w:eastAsia="zh-CN"/>
              </w:rPr>
              <w:t>（或检测报告）</w:t>
            </w:r>
            <w:r>
              <w:rPr>
                <w:rFonts w:hint="eastAsia" w:ascii="宋体" w:hAnsi="宋体" w:eastAsia="宋体" w:cs="宋体"/>
                <w:color w:val="000000"/>
                <w:kern w:val="0"/>
                <w:sz w:val="21"/>
                <w:szCs w:val="21"/>
              </w:rPr>
              <w:t>，每提供一种设备得11.12分，最高得100分。</w:t>
            </w:r>
          </w:p>
          <w:p w14:paraId="226954AA">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1EF1B49E">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71558088">
            <w:pPr>
              <w:pStyle w:val="140"/>
              <w:keepNext w:val="0"/>
              <w:keepLines w:val="0"/>
              <w:pageBreakBefore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1.若是自有专用设备须提供由投标单位送检的经</w:t>
            </w:r>
            <w:r>
              <w:rPr>
                <w:rFonts w:hint="eastAsia" w:ascii="宋体" w:hAnsi="宋体" w:cs="宋体"/>
                <w:sz w:val="21"/>
                <w:szCs w:val="21"/>
                <w:lang w:val="en-US" w:eastAsia="zh-CN"/>
              </w:rPr>
              <w:t>具有</w:t>
            </w:r>
            <w:r>
              <w:rPr>
                <w:rFonts w:hint="eastAsia" w:ascii="宋体" w:hAnsi="宋体" w:eastAsia="宋体" w:cs="宋体"/>
                <w:color w:val="auto"/>
                <w:sz w:val="21"/>
                <w:szCs w:val="21"/>
              </w:rPr>
              <w:t>检测校准合格证的检测单位出具的校准证书</w:t>
            </w:r>
            <w:r>
              <w:rPr>
                <w:rFonts w:hint="eastAsia" w:ascii="宋体" w:hAnsi="宋体" w:cs="宋体"/>
                <w:color w:val="auto"/>
                <w:sz w:val="21"/>
                <w:szCs w:val="21"/>
                <w:lang w:val="en-US" w:eastAsia="zh-CN"/>
              </w:rPr>
              <w:t>（或检测报告）</w:t>
            </w:r>
            <w:r>
              <w:rPr>
                <w:rFonts w:hint="eastAsia" w:ascii="宋体" w:hAnsi="宋体" w:eastAsia="宋体" w:cs="宋体"/>
                <w:sz w:val="21"/>
                <w:szCs w:val="21"/>
              </w:rPr>
              <w:t>及采购合同（或采购发票），采购合同甲方或发票中购买方须为投标单位；</w:t>
            </w:r>
          </w:p>
          <w:p w14:paraId="11C3984C">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2.若是租赁的专用设备须提供由投标单位送检的经</w:t>
            </w:r>
            <w:r>
              <w:rPr>
                <w:rFonts w:hint="eastAsia" w:ascii="宋体" w:hAnsi="宋体" w:cs="宋体"/>
                <w:sz w:val="21"/>
                <w:szCs w:val="21"/>
                <w:lang w:val="en-US" w:eastAsia="zh-CN"/>
              </w:rPr>
              <w:t>具有</w:t>
            </w:r>
            <w:r>
              <w:rPr>
                <w:rFonts w:hint="eastAsia" w:ascii="宋体" w:hAnsi="宋体" w:eastAsia="宋体" w:cs="宋体"/>
                <w:color w:val="auto"/>
                <w:sz w:val="21"/>
                <w:szCs w:val="21"/>
              </w:rPr>
              <w:t>检测校准合格证的检测单位出具的校准证书</w:t>
            </w:r>
            <w:r>
              <w:rPr>
                <w:rFonts w:hint="eastAsia" w:ascii="宋体" w:hAnsi="宋体" w:cs="宋体"/>
                <w:color w:val="auto"/>
                <w:sz w:val="21"/>
                <w:szCs w:val="21"/>
                <w:lang w:val="en-US" w:eastAsia="zh-CN"/>
              </w:rPr>
              <w:t>（或检测报告）</w:t>
            </w:r>
            <w:r>
              <w:rPr>
                <w:rFonts w:hint="eastAsia" w:ascii="宋体" w:hAnsi="宋体" w:eastAsia="宋体" w:cs="宋体"/>
                <w:sz w:val="21"/>
                <w:szCs w:val="21"/>
              </w:rPr>
              <w:t>及投标有效期内的租赁合同，租赁方须为投标单位；</w:t>
            </w:r>
          </w:p>
          <w:p w14:paraId="1978E253">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提供</w:t>
            </w:r>
            <w:r>
              <w:rPr>
                <w:rFonts w:hint="eastAsia" w:ascii="宋体" w:hAnsi="宋体" w:eastAsia="宋体" w:cs="宋体"/>
                <w:sz w:val="21"/>
                <w:szCs w:val="21"/>
              </w:rPr>
              <w:t>以上证明文件</w:t>
            </w:r>
            <w:r>
              <w:rPr>
                <w:rFonts w:hint="eastAsia" w:ascii="宋体" w:hAnsi="宋体" w:eastAsia="宋体" w:cs="宋体"/>
                <w:kern w:val="0"/>
                <w:sz w:val="21"/>
                <w:szCs w:val="21"/>
              </w:rPr>
              <w:t>扫描件</w:t>
            </w:r>
            <w:r>
              <w:rPr>
                <w:rFonts w:hint="eastAsia" w:ascii="宋体" w:hAnsi="宋体" w:eastAsia="宋体" w:cs="宋体"/>
                <w:sz w:val="21"/>
                <w:szCs w:val="21"/>
              </w:rPr>
              <w:t>，原件备查</w:t>
            </w:r>
            <w:r>
              <w:rPr>
                <w:rFonts w:hint="eastAsia" w:ascii="宋体" w:hAnsi="宋体" w:eastAsia="宋体" w:cs="宋体"/>
                <w:kern w:val="0"/>
                <w:sz w:val="21"/>
                <w:szCs w:val="21"/>
              </w:rPr>
              <w:t>，</w:t>
            </w:r>
            <w:r>
              <w:rPr>
                <w:rFonts w:hint="eastAsia" w:ascii="宋体" w:hAnsi="宋体" w:eastAsia="宋体" w:cs="宋体"/>
                <w:sz w:val="21"/>
                <w:szCs w:val="21"/>
              </w:rPr>
              <w:t>如涉及网站截图或照片等证明材料,需提供清晰图片。未按要求提供有效证明材料或提供不清晰导致评委无法识别的不计得分。</w:t>
            </w:r>
          </w:p>
        </w:tc>
      </w:tr>
      <w:tr w14:paraId="14D22E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46A8983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0E48E696">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商务</w:t>
            </w:r>
          </w:p>
        </w:tc>
        <w:tc>
          <w:tcPr>
            <w:tcW w:w="4763" w:type="dxa"/>
            <w:tcBorders>
              <w:top w:val="single" w:color="000000" w:sz="8" w:space="0"/>
              <w:left w:val="single" w:color="000000" w:sz="8" w:space="0"/>
              <w:bottom w:val="single" w:color="000000" w:sz="8" w:space="0"/>
              <w:right w:val="single" w:color="000000" w:sz="8" w:space="0"/>
            </w:tcBorders>
          </w:tcPr>
          <w:p w14:paraId="346A444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31</w:t>
            </w:r>
          </w:p>
        </w:tc>
      </w:tr>
      <w:tr w14:paraId="178E6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7E990306">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5A3D09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AC31AF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A539C2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47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69AA32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378CB7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85" w:hRule="atLeast"/>
          <w:jc w:val="center"/>
        </w:trPr>
        <w:tc>
          <w:tcPr>
            <w:tcW w:w="0" w:type="auto"/>
            <w:vMerge w:val="continue"/>
            <w:tcBorders>
              <w:left w:val="single" w:color="000000" w:sz="8" w:space="0"/>
              <w:right w:val="single" w:color="000000" w:sz="8" w:space="0"/>
            </w:tcBorders>
            <w:vAlign w:val="center"/>
          </w:tcPr>
          <w:p w14:paraId="07958686">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3D4AC3A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0506C4DD">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拟派本项目的服务人数、服务人员素质</w:t>
            </w:r>
          </w:p>
        </w:tc>
        <w:tc>
          <w:tcPr>
            <w:tcW w:w="681" w:type="dxa"/>
            <w:tcBorders>
              <w:top w:val="single" w:color="000000" w:sz="8" w:space="0"/>
              <w:left w:val="single" w:color="000000" w:sz="8" w:space="0"/>
              <w:bottom w:val="single" w:color="000000" w:sz="8" w:space="0"/>
              <w:right w:val="single" w:color="000000" w:sz="8" w:space="0"/>
            </w:tcBorders>
          </w:tcPr>
          <w:p w14:paraId="444EDC5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763" w:type="dxa"/>
            <w:tcBorders>
              <w:top w:val="single" w:color="000000" w:sz="8" w:space="0"/>
              <w:left w:val="single" w:color="000000" w:sz="8" w:space="0"/>
              <w:bottom w:val="single" w:color="000000" w:sz="8" w:space="0"/>
              <w:right w:val="single" w:color="000000" w:sz="8" w:space="0"/>
            </w:tcBorders>
          </w:tcPr>
          <w:p w14:paraId="09339943">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032D4CC">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本项目安排的项目团队人员（含项目负责人，仅限1人）均需为投标人正式聘任员工，否则本项不得分。在此基础上，按以下标准评分：</w:t>
            </w:r>
          </w:p>
          <w:p w14:paraId="0268474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1.拟派本项目负责人（1人）（50分）：</w:t>
            </w:r>
          </w:p>
          <w:p w14:paraId="43569A0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（1）职称或资质（15分）：具有中级及以上暖通或机电相关专业职称证书的，得15分，此项最高得15分；</w:t>
            </w:r>
          </w:p>
          <w:p w14:paraId="0D6DEB9C">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（2）学历（15分）：具有暖通专业或机电相关专业（本科及以上）学历的，得15分，此项最高得15分；</w:t>
            </w:r>
          </w:p>
          <w:p w14:paraId="434D7B73">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（3）项目经验（20分）：具有同类净化空调维保服务项目担任项目负责人工作经验的，每提供一个</w:t>
            </w:r>
            <w:r>
              <w:rPr>
                <w:rFonts w:hint="eastAsia" w:ascii="宋体" w:hAnsi="宋体" w:eastAsia="宋体" w:cs="宋体"/>
                <w:sz w:val="21"/>
                <w:szCs w:val="21"/>
                <w:lang w:val="en-US" w:eastAsia="zh-CN"/>
              </w:rPr>
              <w:t>项目</w:t>
            </w:r>
            <w:r>
              <w:rPr>
                <w:rFonts w:hint="eastAsia" w:ascii="宋体" w:hAnsi="宋体" w:eastAsia="宋体" w:cs="宋体"/>
                <w:sz w:val="21"/>
                <w:szCs w:val="21"/>
              </w:rPr>
              <w:t>得10分，此项最高得20分。</w:t>
            </w:r>
          </w:p>
          <w:p w14:paraId="611C4A3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注：项目合同需体现拟派人员为该项目的项目负责人，合同中无法体现的，可提供甲方加盖公章证明资料。</w:t>
            </w:r>
          </w:p>
          <w:p w14:paraId="2447CCB0">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2.项目其他团队成员（不含项目负责人）（50分）：</w:t>
            </w:r>
          </w:p>
          <w:p w14:paraId="6E8F204E">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（1）团队成员中主管（1人）（15分）：暖通专业或机电相关专业（专科及以上）学历的，得15分，此项最高得15分；</w:t>
            </w:r>
          </w:p>
          <w:p w14:paraId="7054890F">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FF0000"/>
                <w:sz w:val="21"/>
                <w:szCs w:val="21"/>
              </w:rPr>
            </w:pPr>
            <w:r>
              <w:rPr>
                <w:rFonts w:hint="eastAsia" w:ascii="宋体" w:hAnsi="宋体" w:eastAsia="宋体" w:cs="宋体"/>
                <w:color w:val="auto"/>
                <w:sz w:val="21"/>
                <w:szCs w:val="21"/>
              </w:rPr>
              <w:t>（2）项目经验（35分）：团队成员</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同类净化空调维保服务项目</w:t>
            </w:r>
            <w:r>
              <w:rPr>
                <w:rFonts w:hint="eastAsia" w:ascii="宋体" w:hAnsi="宋体" w:eastAsia="宋体" w:cs="宋体"/>
                <w:color w:val="auto"/>
                <w:sz w:val="21"/>
                <w:szCs w:val="21"/>
                <w:lang w:val="en-US" w:eastAsia="zh-CN"/>
              </w:rPr>
              <w:t>工作经验</w:t>
            </w:r>
            <w:r>
              <w:rPr>
                <w:rFonts w:hint="eastAsia" w:ascii="宋体" w:hAnsi="宋体" w:eastAsia="宋体" w:cs="宋体"/>
                <w:color w:val="auto"/>
                <w:sz w:val="21"/>
                <w:szCs w:val="21"/>
              </w:rPr>
              <w:t>的，每提供一人得7分，此项最高得35分。</w:t>
            </w:r>
          </w:p>
          <w:p w14:paraId="27BD990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注：项目合同需体现拟派人员为该项目的服务人员，合同中无法体现的，可提供甲方加盖公章证明资料。</w:t>
            </w:r>
          </w:p>
          <w:p w14:paraId="5DB4565E">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30597BCC">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51509AB1">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项目团队人员通过投标单位缴纳的载有社保部门或税务部门公章的近三个月（含投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2504690B">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2.提供上述职称证书、资格证书，毕业证书以及学信网查询记录，对于学信网无法查询的，还需提供毕业院校或人社部门或教育部门等颁发机构或监管机构出具的证明，否则无效；</w:t>
            </w:r>
          </w:p>
          <w:p w14:paraId="21C47ABC">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3.涉及考察人员工作经验的，要求</w:t>
            </w:r>
            <w:bookmarkStart w:id="0" w:name="OLE_LINK319"/>
            <w:bookmarkStart w:id="1" w:name="OLE_LINK321"/>
            <w:bookmarkStart w:id="2" w:name="OLE_LINK320"/>
            <w:r>
              <w:rPr>
                <w:rFonts w:hint="eastAsia" w:ascii="宋体" w:hAnsi="宋体" w:eastAsia="宋体" w:cs="宋体"/>
                <w:sz w:val="21"/>
                <w:szCs w:val="21"/>
              </w:rPr>
              <w:t>提供项目合同关键信息作为评分依据，通过合同关键信息无法判断是否得分的，还需同时提供合同甲方出具的证明文件</w:t>
            </w:r>
            <w:bookmarkEnd w:id="0"/>
            <w:bookmarkEnd w:id="1"/>
            <w:bookmarkEnd w:id="2"/>
            <w:r>
              <w:rPr>
                <w:rFonts w:hint="eastAsia" w:ascii="宋体" w:hAnsi="宋体" w:eastAsia="宋体" w:cs="宋体"/>
                <w:sz w:val="21"/>
                <w:szCs w:val="21"/>
              </w:rPr>
              <w:t>（加盖合同甲方公章或业务章）；</w:t>
            </w:r>
          </w:p>
          <w:p w14:paraId="38C9E00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提供</w:t>
            </w:r>
            <w:r>
              <w:rPr>
                <w:rFonts w:hint="eastAsia" w:ascii="宋体" w:hAnsi="宋体" w:eastAsia="宋体" w:cs="宋体"/>
                <w:sz w:val="21"/>
                <w:szCs w:val="21"/>
              </w:rPr>
              <w:t>以上证明文件</w:t>
            </w:r>
            <w:r>
              <w:rPr>
                <w:rFonts w:hint="eastAsia" w:ascii="宋体" w:hAnsi="宋体" w:eastAsia="宋体" w:cs="宋体"/>
                <w:kern w:val="0"/>
                <w:sz w:val="21"/>
                <w:szCs w:val="21"/>
              </w:rPr>
              <w:t>扫描件</w:t>
            </w:r>
            <w:r>
              <w:rPr>
                <w:rFonts w:hint="eastAsia" w:ascii="宋体" w:hAnsi="宋体" w:eastAsia="宋体" w:cs="宋体"/>
                <w:sz w:val="21"/>
                <w:szCs w:val="21"/>
              </w:rPr>
              <w:t>，原件备查</w:t>
            </w:r>
            <w:r>
              <w:rPr>
                <w:rFonts w:hint="eastAsia" w:ascii="宋体" w:hAnsi="宋体" w:eastAsia="宋体" w:cs="宋体"/>
                <w:kern w:val="0"/>
                <w:sz w:val="21"/>
                <w:szCs w:val="21"/>
              </w:rPr>
              <w:t>，</w:t>
            </w:r>
            <w:r>
              <w:rPr>
                <w:rFonts w:hint="eastAsia" w:ascii="宋体" w:hAnsi="宋体" w:eastAsia="宋体" w:cs="宋体"/>
                <w:sz w:val="21"/>
                <w:szCs w:val="21"/>
              </w:rPr>
              <w:t>如涉及网站截图或照片等证明材料,需提供清晰图片。未按要求提供有效证明材料或提供不清晰导致评委无法识别的不计得分。</w:t>
            </w:r>
          </w:p>
        </w:tc>
      </w:tr>
      <w:tr w14:paraId="27701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94" w:hRule="atLeast"/>
          <w:jc w:val="center"/>
        </w:trPr>
        <w:tc>
          <w:tcPr>
            <w:tcW w:w="0" w:type="auto"/>
            <w:vMerge w:val="continue"/>
            <w:tcBorders>
              <w:left w:val="single" w:color="000000" w:sz="8" w:space="0"/>
              <w:right w:val="single" w:color="000000" w:sz="8" w:space="0"/>
            </w:tcBorders>
            <w:vAlign w:val="center"/>
          </w:tcPr>
          <w:p w14:paraId="2C49E3F4">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42BA8FF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050E37F0">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同类项目业绩情况</w:t>
            </w:r>
          </w:p>
        </w:tc>
        <w:tc>
          <w:tcPr>
            <w:tcW w:w="681" w:type="dxa"/>
            <w:tcBorders>
              <w:top w:val="single" w:color="000000" w:sz="8" w:space="0"/>
              <w:left w:val="single" w:color="000000" w:sz="8" w:space="0"/>
              <w:bottom w:val="single" w:color="000000" w:sz="8" w:space="0"/>
              <w:right w:val="single" w:color="000000" w:sz="8" w:space="0"/>
            </w:tcBorders>
          </w:tcPr>
          <w:p w14:paraId="10D8BAC6">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4763" w:type="dxa"/>
            <w:tcBorders>
              <w:top w:val="single" w:color="000000" w:sz="8" w:space="0"/>
              <w:left w:val="single" w:color="000000" w:sz="8" w:space="0"/>
              <w:bottom w:val="single" w:color="000000" w:sz="8" w:space="0"/>
              <w:right w:val="single" w:color="000000" w:sz="8" w:space="0"/>
            </w:tcBorders>
          </w:tcPr>
          <w:p w14:paraId="1DB8B000">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62935A4B">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1.2022年10月1日至本项目投标截止日（以合同签订日期为准），投标人具有净化空调维保同类项目业绩的，每提供1个项目得10分</w:t>
            </w:r>
            <w:r>
              <w:rPr>
                <w:rFonts w:hint="eastAsia" w:ascii="宋体" w:hAnsi="宋体" w:cs="宋体"/>
                <w:color w:val="auto"/>
                <w:sz w:val="21"/>
                <w:szCs w:val="21"/>
                <w:lang w:eastAsia="zh-CN"/>
              </w:rPr>
              <w:t>，</w:t>
            </w:r>
            <w:r>
              <w:rPr>
                <w:rFonts w:hint="eastAsia" w:ascii="宋体" w:hAnsi="宋体" w:eastAsia="宋体" w:cs="宋体"/>
                <w:color w:val="auto"/>
                <w:sz w:val="21"/>
                <w:szCs w:val="21"/>
              </w:rPr>
              <w:t>最高得80分。同一项目续签合同的不可重复得分，未提供的不得分。</w:t>
            </w:r>
          </w:p>
          <w:p w14:paraId="7FD9674C">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2.以上</w:t>
            </w:r>
            <w:r>
              <w:rPr>
                <w:rFonts w:hint="eastAsia" w:ascii="宋体" w:hAnsi="宋体" w:eastAsia="宋体" w:cs="宋体"/>
                <w:color w:val="auto"/>
                <w:sz w:val="21"/>
                <w:szCs w:val="21"/>
                <w:lang w:val="en-US" w:eastAsia="zh-CN"/>
              </w:rPr>
              <w:t>有效</w:t>
            </w:r>
            <w:r>
              <w:rPr>
                <w:rFonts w:hint="eastAsia" w:ascii="宋体" w:hAnsi="宋体" w:eastAsia="宋体" w:cs="宋体"/>
                <w:color w:val="auto"/>
                <w:sz w:val="21"/>
                <w:szCs w:val="21"/>
              </w:rPr>
              <w:t>同类</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业绩至少有1项业绩中包含百级层流病房的维保内容</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得</w:t>
            </w:r>
            <w:r>
              <w:rPr>
                <w:rFonts w:hint="eastAsia" w:ascii="宋体" w:hAnsi="宋体" w:eastAsia="宋体" w:cs="宋体"/>
                <w:color w:val="auto"/>
                <w:sz w:val="21"/>
                <w:szCs w:val="21"/>
              </w:rPr>
              <w:t>20分。</w:t>
            </w:r>
          </w:p>
          <w:p w14:paraId="51150944">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p>
          <w:p w14:paraId="0FB14F07">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5E8705C0">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1.要求提供合同关键信息页（包括但不限于合同的项目名称、项目内容、合同签订日期、甲乙双方签字盖章页），且提供的材料各项信息不得有任何遮挡；</w:t>
            </w:r>
          </w:p>
          <w:p w14:paraId="7E4C4698">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2.通过合同关键信息无法判断是否得分的，还需提供能证明得分的其它证明资料，如项目报告或合同甲方出具的证明文件（如证明文件信息与合同关键信息页相互冲突，以较不利于投标人的为准）；</w:t>
            </w:r>
          </w:p>
          <w:p w14:paraId="0FC048C2">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kern w:val="0"/>
                <w:sz w:val="21"/>
                <w:szCs w:val="21"/>
              </w:rPr>
              <w:t>以上</w:t>
            </w:r>
            <w:r>
              <w:rPr>
                <w:rFonts w:hint="eastAsia" w:ascii="宋体" w:hAnsi="宋体" w:eastAsia="宋体" w:cs="宋体"/>
                <w:color w:val="auto"/>
                <w:sz w:val="21"/>
                <w:szCs w:val="21"/>
              </w:rPr>
              <w:t>证明文件</w:t>
            </w:r>
            <w:r>
              <w:rPr>
                <w:rFonts w:hint="eastAsia" w:ascii="宋体" w:hAnsi="宋体" w:eastAsia="宋体" w:cs="宋体"/>
                <w:color w:val="auto"/>
                <w:kern w:val="0"/>
                <w:sz w:val="21"/>
                <w:szCs w:val="21"/>
              </w:rPr>
              <w:t>均提供扫描件</w:t>
            </w:r>
            <w:r>
              <w:rPr>
                <w:rFonts w:hint="eastAsia" w:ascii="宋体" w:hAnsi="宋体" w:eastAsia="宋体" w:cs="宋体"/>
                <w:color w:val="auto"/>
                <w:sz w:val="21"/>
                <w:szCs w:val="21"/>
              </w:rPr>
              <w:t>，原件备查</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未按要求提供有效证明材料或提供不清晰导致评委无法识别的不计得分。</w:t>
            </w:r>
          </w:p>
        </w:tc>
      </w:tr>
      <w:tr w14:paraId="3FD92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0117C669">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524AD7F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752EC3F7">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履约评价</w:t>
            </w:r>
          </w:p>
        </w:tc>
        <w:tc>
          <w:tcPr>
            <w:tcW w:w="681" w:type="dxa"/>
            <w:tcBorders>
              <w:top w:val="single" w:color="000000" w:sz="8" w:space="0"/>
              <w:left w:val="single" w:color="000000" w:sz="8" w:space="0"/>
              <w:bottom w:val="single" w:color="000000" w:sz="8" w:space="0"/>
              <w:right w:val="single" w:color="000000" w:sz="8" w:space="0"/>
            </w:tcBorders>
          </w:tcPr>
          <w:p w14:paraId="52B996B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763" w:type="dxa"/>
            <w:tcBorders>
              <w:top w:val="single" w:color="000000" w:sz="8" w:space="0"/>
              <w:left w:val="single" w:color="000000" w:sz="8" w:space="0"/>
              <w:bottom w:val="single" w:color="000000" w:sz="8" w:space="0"/>
              <w:right w:val="single" w:color="000000" w:sz="8" w:space="0"/>
            </w:tcBorders>
          </w:tcPr>
          <w:p w14:paraId="0AE2B2CD">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6991ADB6">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2022年10月1日至本项目投标截止日（以合同签订日期为准），上述“</w:t>
            </w:r>
            <w:r>
              <w:rPr>
                <w:rFonts w:hint="eastAsia" w:ascii="宋体" w:hAnsi="宋体" w:eastAsia="宋体" w:cs="宋体"/>
                <w:color w:val="auto"/>
                <w:sz w:val="21"/>
                <w:szCs w:val="21"/>
              </w:rPr>
              <w:t>同类项目业绩情况</w:t>
            </w:r>
            <w:r>
              <w:rPr>
                <w:rFonts w:hint="eastAsia" w:ascii="宋体" w:hAnsi="宋体" w:eastAsia="宋体" w:cs="宋体"/>
                <w:bCs/>
                <w:color w:val="auto"/>
                <w:kern w:val="0"/>
                <w:sz w:val="21"/>
                <w:szCs w:val="21"/>
              </w:rPr>
              <w:t>”中经评审有效的服务业绩获得采购单位履约评价结果为</w:t>
            </w:r>
            <w:r>
              <w:rPr>
                <w:rFonts w:hint="eastAsia" w:ascii="宋体" w:hAnsi="宋体" w:eastAsia="宋体" w:cs="宋体"/>
                <w:color w:val="auto"/>
                <w:sz w:val="21"/>
                <w:szCs w:val="21"/>
              </w:rPr>
              <w:t>“优”或“满意”</w:t>
            </w:r>
            <w:r>
              <w:rPr>
                <w:rFonts w:hint="eastAsia" w:ascii="宋体" w:hAnsi="宋体" w:eastAsia="宋体" w:cs="宋体"/>
                <w:bCs/>
                <w:color w:val="auto"/>
                <w:sz w:val="21"/>
                <w:szCs w:val="21"/>
              </w:rPr>
              <w:t>或</w:t>
            </w:r>
            <w:r>
              <w:rPr>
                <w:rFonts w:hint="eastAsia" w:ascii="宋体" w:hAnsi="宋体" w:eastAsia="宋体" w:cs="宋体"/>
                <w:color w:val="auto"/>
                <w:sz w:val="21"/>
                <w:szCs w:val="21"/>
              </w:rPr>
              <w:t>评价证明中最高等级或评价得分达到90分（非百分制评分的应达到90%分值）</w:t>
            </w:r>
            <w:r>
              <w:rPr>
                <w:rFonts w:hint="eastAsia" w:ascii="宋体" w:hAnsi="宋体" w:eastAsia="宋体" w:cs="宋体"/>
                <w:bCs/>
                <w:color w:val="auto"/>
                <w:kern w:val="0"/>
                <w:sz w:val="21"/>
                <w:szCs w:val="21"/>
              </w:rPr>
              <w:t>，每提供1个项目得14.2</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分,最高得100分。</w:t>
            </w:r>
          </w:p>
          <w:p w14:paraId="6AFD115A">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color w:val="auto"/>
                <w:kern w:val="0"/>
                <w:sz w:val="21"/>
                <w:szCs w:val="21"/>
              </w:rPr>
            </w:pPr>
          </w:p>
          <w:p w14:paraId="531267A1">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（二）评分依据：</w:t>
            </w:r>
          </w:p>
          <w:p w14:paraId="2B88F795">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1.要求提供加盖合同甲方公章或甲方业务章的履约评价证明材料；</w:t>
            </w:r>
          </w:p>
          <w:p w14:paraId="0BA80338">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以上</w:t>
            </w:r>
            <w:r>
              <w:rPr>
                <w:rFonts w:hint="eastAsia" w:ascii="宋体" w:hAnsi="宋体" w:eastAsia="宋体" w:cs="宋体"/>
                <w:color w:val="auto"/>
                <w:sz w:val="21"/>
                <w:szCs w:val="21"/>
              </w:rPr>
              <w:t>证明文件</w:t>
            </w:r>
            <w:r>
              <w:rPr>
                <w:rFonts w:hint="eastAsia" w:ascii="宋体" w:hAnsi="宋体" w:eastAsia="宋体" w:cs="宋体"/>
                <w:color w:val="auto"/>
                <w:kern w:val="0"/>
                <w:sz w:val="21"/>
                <w:szCs w:val="21"/>
              </w:rPr>
              <w:t>均提供扫描件</w:t>
            </w:r>
            <w:r>
              <w:rPr>
                <w:rFonts w:hint="eastAsia" w:ascii="宋体" w:hAnsi="宋体" w:eastAsia="宋体" w:cs="宋体"/>
                <w:color w:val="auto"/>
                <w:sz w:val="21"/>
                <w:szCs w:val="21"/>
              </w:rPr>
              <w:t>，原件备查</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未按要求提供有效证明材料或提供不清晰导致评委无法识别的不计得分。</w:t>
            </w:r>
          </w:p>
        </w:tc>
      </w:tr>
      <w:tr w14:paraId="496BC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4E920BE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5FFA0BB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其他</w:t>
            </w:r>
          </w:p>
        </w:tc>
        <w:tc>
          <w:tcPr>
            <w:tcW w:w="4763" w:type="dxa"/>
            <w:tcBorders>
              <w:top w:val="single" w:color="000000" w:sz="8" w:space="0"/>
              <w:left w:val="single" w:color="000000" w:sz="8" w:space="0"/>
              <w:bottom w:val="single" w:color="000000" w:sz="8" w:space="0"/>
              <w:right w:val="single" w:color="000000" w:sz="8" w:space="0"/>
            </w:tcBorders>
          </w:tcPr>
          <w:p w14:paraId="693F1DE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14:paraId="4092B5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6F553A39">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CC47F8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2B1698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84D21C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47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E747E1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123D8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40527E8F">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0B62943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2BCE6C42">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681" w:type="dxa"/>
            <w:tcBorders>
              <w:top w:val="single" w:color="000000" w:sz="8" w:space="0"/>
              <w:left w:val="single" w:color="000000" w:sz="8" w:space="0"/>
              <w:bottom w:val="single" w:color="000000" w:sz="8" w:space="0"/>
              <w:right w:val="single" w:color="000000" w:sz="8" w:space="0"/>
            </w:tcBorders>
          </w:tcPr>
          <w:p w14:paraId="22B7AE6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763" w:type="dxa"/>
            <w:tcBorders>
              <w:top w:val="single" w:color="000000" w:sz="8" w:space="0"/>
              <w:left w:val="single" w:color="000000" w:sz="8" w:space="0"/>
              <w:bottom w:val="single" w:color="000000" w:sz="8" w:space="0"/>
              <w:right w:val="single" w:color="000000" w:sz="8" w:space="0"/>
            </w:tcBorders>
          </w:tcPr>
          <w:p w14:paraId="269F44F4">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100分。</w:t>
            </w:r>
          </w:p>
          <w:p w14:paraId="77652777">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r>
    </w:tbl>
    <w:p w14:paraId="10A48FF4"/>
    <w:p w14:paraId="5EEA6459">
      <w:pPr>
        <w:rPr>
          <w:ins w:id="0" w:author="中正-李工" w:date="2025-09-12T15:01:00Z"/>
          <w:rFonts w:asciiTheme="minorEastAsia" w:hAnsiTheme="minorEastAsia" w:eastAsiaTheme="minorEastAsia"/>
        </w:rPr>
      </w:pPr>
      <w:ins w:id="1" w:author="中正-李工" w:date="2025-09-12T15:01:00Z">
        <w:r>
          <w:rPr>
            <w:rFonts w:hint="eastAsia" w:asciiTheme="minorEastAsia" w:hAnsiTheme="minorEastAsia" w:eastAsiaTheme="minorEastAsia"/>
          </w:rPr>
          <w:br w:type="page"/>
        </w:r>
      </w:ins>
    </w:p>
    <w:p w14:paraId="124B4B54">
      <w:pPr>
        <w:pStyle w:val="4"/>
        <w:spacing w:before="0" w:after="0"/>
        <w:rPr>
          <w:rFonts w:asciiTheme="minorEastAsia" w:hAnsiTheme="minorEastAsia" w:eastAsiaTheme="minorEastAsia"/>
        </w:rPr>
      </w:pPr>
      <w:r>
        <w:rPr>
          <w:rFonts w:hint="eastAsia" w:asciiTheme="minorEastAsia" w:hAnsiTheme="minorEastAsia" w:eastAsiaTheme="minorEastAsia"/>
          <w:b/>
          <w:bCs/>
        </w:rPr>
        <w:t>其它关键信息</w:t>
      </w:r>
    </w:p>
    <w:p w14:paraId="0BD9FFFB">
      <w:pPr>
        <w:spacing w:line="360" w:lineRule="auto"/>
        <w:ind w:firstLine="413" w:firstLineChars="196"/>
        <w:rPr>
          <w:rFonts w:ascii="宋体" w:hAnsi="宋体"/>
          <w:szCs w:val="21"/>
        </w:rPr>
      </w:pPr>
      <w:r>
        <w:rPr>
          <w:rFonts w:hint="eastAsia" w:ascii="宋体" w:hAnsi="宋体"/>
          <w:b/>
          <w:szCs w:val="21"/>
        </w:rPr>
        <w:t>一</w:t>
      </w:r>
      <w:r>
        <w:rPr>
          <w:rFonts w:hint="eastAsia" w:asciiTheme="minorEastAsia" w:hAnsiTheme="minorEastAsia" w:eastAsiaTheme="minorEastAsia"/>
          <w:b/>
          <w:szCs w:val="21"/>
        </w:rPr>
        <w:t>、</w:t>
      </w:r>
      <w:r>
        <w:rPr>
          <w:rFonts w:hint="eastAsia"/>
          <w:b/>
          <w:szCs w:val="21"/>
        </w:rPr>
        <w:t>评标定标信息</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5"/>
      </w:tblGrid>
      <w:tr w14:paraId="3ADF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325D781D">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是否评标定标分离</w:t>
            </w:r>
          </w:p>
        </w:tc>
        <w:tc>
          <w:tcPr>
            <w:tcW w:w="4265" w:type="dxa"/>
          </w:tcPr>
          <w:p w14:paraId="3DAA2EA6">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非评定分离</w:t>
            </w:r>
          </w:p>
        </w:tc>
      </w:tr>
      <w:tr w14:paraId="1F4C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52CFA434">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定标方法</w:t>
            </w:r>
          </w:p>
        </w:tc>
        <w:tc>
          <w:tcPr>
            <w:tcW w:w="4265" w:type="dxa"/>
          </w:tcPr>
          <w:p w14:paraId="2638ACD0">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14:paraId="5436D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54CD6140">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评标方法</w:t>
            </w:r>
          </w:p>
        </w:tc>
        <w:tc>
          <w:tcPr>
            <w:tcW w:w="4265" w:type="dxa"/>
          </w:tcPr>
          <w:p w14:paraId="6BE43E3E">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综合评分法</w:t>
            </w:r>
          </w:p>
        </w:tc>
      </w:tr>
      <w:tr w14:paraId="771DE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451FD8E3">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中标供应商家数</w:t>
            </w:r>
          </w:p>
        </w:tc>
        <w:tc>
          <w:tcPr>
            <w:tcW w:w="4265" w:type="dxa"/>
          </w:tcPr>
          <w:p w14:paraId="0A5F8C0D">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14:paraId="60BB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701AE1E0">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候选中标供应商家数</w:t>
            </w:r>
          </w:p>
        </w:tc>
        <w:tc>
          <w:tcPr>
            <w:tcW w:w="4265" w:type="dxa"/>
          </w:tcPr>
          <w:p w14:paraId="7429EDA2">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1</w:t>
            </w:r>
          </w:p>
        </w:tc>
      </w:tr>
    </w:tbl>
    <w:p w14:paraId="7C1743F2">
      <w:pPr>
        <w:spacing w:line="360" w:lineRule="auto"/>
        <w:ind w:firstLine="411" w:firstLineChars="196"/>
        <w:rPr>
          <w:rFonts w:ascii="宋体" w:hAnsi="宋体"/>
        </w:rPr>
      </w:pPr>
    </w:p>
    <w:p w14:paraId="7CA40743">
      <w:pPr>
        <w:spacing w:line="360" w:lineRule="auto"/>
        <w:ind w:firstLine="413" w:firstLineChars="196"/>
        <w:rPr>
          <w:rFonts w:ascii="宋体" w:hAnsi="宋体"/>
          <w:b/>
          <w:szCs w:val="21"/>
        </w:rPr>
      </w:pPr>
      <w:r>
        <w:rPr>
          <w:rFonts w:hint="eastAsia" w:ascii="宋体" w:hAnsi="宋体"/>
          <w:b/>
          <w:szCs w:val="21"/>
        </w:rPr>
        <w:t>二</w:t>
      </w:r>
      <w:r>
        <w:rPr>
          <w:rFonts w:hint="eastAsia" w:asciiTheme="minorEastAsia" w:hAnsiTheme="minorEastAsia" w:eastAsiaTheme="minorEastAsia"/>
          <w:b/>
          <w:szCs w:val="21"/>
        </w:rPr>
        <w:t>、</w:t>
      </w:r>
      <w:r>
        <w:rPr>
          <w:rFonts w:hint="eastAsia" w:ascii="宋体" w:hAnsi="宋体"/>
          <w:b/>
          <w:szCs w:val="21"/>
        </w:rPr>
        <w:t>报价明显偏低的合理性说明</w:t>
      </w:r>
    </w:p>
    <w:p w14:paraId="1AFEF965">
      <w:pPr>
        <w:spacing w:line="360" w:lineRule="auto"/>
        <w:ind w:firstLine="420" w:firstLineChars="200"/>
        <w:rPr>
          <w:rFonts w:ascii="宋体" w:hAnsi="宋体"/>
          <w:szCs w:val="21"/>
        </w:rPr>
      </w:pP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hAns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372B76">
      <w:pPr>
        <w:spacing w:line="360" w:lineRule="auto"/>
        <w:ind w:firstLine="420" w:firstLineChars="200"/>
        <w:rPr>
          <w:rFonts w:ascii="宋体" w:hAnsi="宋体"/>
          <w:szCs w:val="21"/>
        </w:rPr>
      </w:pPr>
    </w:p>
    <w:p w14:paraId="07125C0A">
      <w:pPr>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szCs w:val="21"/>
        </w:rPr>
        <w:t>三、</w:t>
      </w:r>
      <w:r>
        <w:rPr>
          <w:rFonts w:hint="eastAsia" w:asciiTheme="minorEastAsia" w:hAnsiTheme="minorEastAsia" w:eastAsiaTheme="minorEastAsia"/>
          <w:b/>
          <w:bCs/>
        </w:rPr>
        <w:t>关于享受政府采购扶持政策的主体及价格扣除比例</w:t>
      </w:r>
    </w:p>
    <w:p w14:paraId="5B3CAE75">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321A0CFD">
      <w:pPr>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bCs/>
        </w:rPr>
        <w:t>（二）价格评审优惠</w:t>
      </w:r>
    </w:p>
    <w:p w14:paraId="0F599429">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hAnsi="宋体"/>
          <w:szCs w:val="24"/>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4D749400">
      <w:pPr>
        <w:widowControl/>
        <w:spacing w:line="360" w:lineRule="auto"/>
        <w:ind w:firstLine="371" w:firstLineChars="177"/>
        <w:jc w:val="left"/>
        <w:rPr>
          <w:rFonts w:cs="仿宋" w:asciiTheme="minorEastAsia" w:hAnsiTheme="minorEastAsia" w:eastAsiaTheme="minorEastAsia"/>
          <w:szCs w:val="21"/>
        </w:rPr>
      </w:pPr>
      <w:r>
        <w:rPr>
          <w:rFonts w:hint="eastAsia" w:ascii="宋体" w:eastAsia="宋体" w:cs="MS Mincho" w:hAnsiTheme="minorEastAsia"/>
          <w:kern w:val="0"/>
          <w:szCs w:val="21"/>
          <w:lang w:eastAsia="zh-CN"/>
        </w:rPr>
        <w:t>□</w:t>
      </w:r>
      <w:r>
        <w:rPr>
          <w:rFonts w:hint="eastAsia" w:ascii="Segoe UI Symbol" w:hAnsi="Segoe UI Symbol"/>
          <w:szCs w:val="24"/>
        </w:rPr>
        <w:t>未</w:t>
      </w:r>
      <w:r>
        <w:rPr>
          <w:rFonts w:hint="eastAsia" w:hAnsi="宋体"/>
          <w:szCs w:val="24"/>
        </w:rPr>
        <w:t>预留份额专门面向中小企业采购的采购项目或采购包</w:t>
      </w:r>
      <w:r>
        <w:rPr>
          <w:rFonts w:hint="eastAsia" w:asciiTheme="minorEastAsia" w:hAnsiTheme="minorEastAsia" w:eastAsiaTheme="minorEastAsia"/>
          <w:szCs w:val="21"/>
        </w:rPr>
        <w:t>：</w:t>
      </w:r>
    </w:p>
    <w:p w14:paraId="4F3F8E03">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rPr>
        <w:t>其投标报价扣除</w:t>
      </w:r>
      <w:r>
        <w:rPr>
          <w:rFonts w:hint="eastAsia" w:asciiTheme="minorEastAsia" w:hAnsiTheme="minorEastAsia" w:eastAsiaTheme="minorEastAsia"/>
          <w:b/>
          <w:u w:val="single"/>
        </w:rPr>
        <w:t xml:space="preserve"> 10 </w:t>
      </w:r>
      <w:r>
        <w:rPr>
          <w:rFonts w:hint="eastAsia" w:asciiTheme="minorEastAsia" w:hAnsiTheme="minorEastAsia" w:eastAsiaTheme="minorEastAsia"/>
          <w:b/>
        </w:rPr>
        <w:t>%（请在10%-20%范围内选择）后参与评审</w:t>
      </w:r>
      <w:r>
        <w:rPr>
          <w:rFonts w:hint="eastAsia" w:asciiTheme="minorEastAsia" w:hAnsiTheme="minorEastAsia" w:eastAsiaTheme="minorEastAsia"/>
        </w:rPr>
        <w:t>。</w:t>
      </w:r>
    </w:p>
    <w:p w14:paraId="3FCF6D0C">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（2）联合协议中约定，小型、微型企业的协议合同金额占到联合体协议合同总金额30%以上的，可给予</w:t>
      </w:r>
      <w:r>
        <w:rPr>
          <w:rFonts w:hint="eastAsia" w:asciiTheme="minorEastAsia" w:hAnsiTheme="minorEastAsia" w:eastAsiaTheme="minorEastAsia"/>
          <w:b/>
        </w:rPr>
        <w:t>联合体</w:t>
      </w:r>
      <w:r>
        <w:rPr>
          <w:rFonts w:hint="eastAsia" w:asciiTheme="minorEastAsia" w:hAnsiTheme="minorEastAsia" w:eastAsiaTheme="minorEastAsia"/>
          <w:b/>
          <w:u w:val="single"/>
        </w:rPr>
        <w:t xml:space="preserve"> / </w:t>
      </w:r>
      <w:r>
        <w:rPr>
          <w:rFonts w:hint="eastAsia" w:asciiTheme="minorEastAsia" w:hAnsiTheme="minorEastAsia" w:eastAsiaTheme="minorEastAsia"/>
          <w:b/>
        </w:rPr>
        <w:t>%</w:t>
      </w:r>
      <w:r>
        <w:rPr>
          <w:rFonts w:asciiTheme="minorEastAsia" w:hAnsiTheme="minorEastAsia" w:eastAsiaTheme="minorEastAsia"/>
          <w:b/>
        </w:rPr>
        <w:t xml:space="preserve"> </w:t>
      </w:r>
      <w:r>
        <w:rPr>
          <w:rFonts w:hint="eastAsia" w:asciiTheme="minorEastAsia" w:hAnsiTheme="minorEastAsia" w:eastAsiaTheme="minorEastAsia"/>
          <w:b/>
        </w:rPr>
        <w:t>（请在4</w:t>
      </w:r>
      <w:r>
        <w:rPr>
          <w:rFonts w:asciiTheme="minorEastAsia" w:hAnsiTheme="minorEastAsia" w:eastAsiaTheme="minorEastAsia"/>
          <w:b/>
        </w:rPr>
        <w:t>%-</w:t>
      </w:r>
      <w:r>
        <w:rPr>
          <w:rFonts w:hint="eastAsia" w:asciiTheme="minorEastAsia" w:hAnsiTheme="minorEastAsia" w:eastAsiaTheme="minorEastAsia"/>
          <w:b/>
        </w:rPr>
        <w:t>6</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rPr>
        <w:t>的价格扣除</w:t>
      </w:r>
      <w:r>
        <w:rPr>
          <w:rFonts w:hint="eastAsia" w:ascii="宋体" w:hAnsi="宋体"/>
        </w:rPr>
        <w:t>，用扣除后的价格参与评审</w:t>
      </w:r>
      <w:r>
        <w:rPr>
          <w:rFonts w:hint="eastAsia" w:asciiTheme="minorEastAsia" w:hAnsiTheme="minorEastAsia" w:eastAsiaTheme="minorEastAsia"/>
        </w:rPr>
        <w:t>。如联合体各方均为小型、微型企业，联合体视同为小型、微型企业，享受</w:t>
      </w:r>
      <w:r>
        <w:rPr>
          <w:rFonts w:hint="eastAsia" w:asciiTheme="minorEastAsia" w:hAnsiTheme="minorEastAsia" w:eastAsiaTheme="minorEastAsia"/>
          <w:b/>
        </w:rPr>
        <w:t>第（1）项</w:t>
      </w:r>
      <w:r>
        <w:rPr>
          <w:rFonts w:hint="eastAsia" w:asciiTheme="minorEastAsia" w:hAnsiTheme="minorEastAsia" w:eastAsiaTheme="minorEastAsia"/>
        </w:rPr>
        <w:t>的评审优惠。</w:t>
      </w:r>
    </w:p>
    <w:p w14:paraId="3FB09241">
      <w:pPr>
        <w:spacing w:after="60" w:line="360" w:lineRule="auto"/>
        <w:ind w:firstLine="424" w:firstLineChars="202"/>
        <w:rPr>
          <w:rFonts w:ascii="宋体" w:hAnsi="宋体"/>
        </w:rPr>
      </w:pPr>
      <w:r>
        <w:rPr>
          <w:rFonts w:hint="eastAsia" w:ascii="宋体" w:hAnsi="宋体"/>
        </w:rPr>
        <w:t>（3）分包意向协议约定，小型、微型企业的协议合同金额占到合同总金额30%以上的，可给予投标人</w:t>
      </w:r>
      <w:r>
        <w:rPr>
          <w:rFonts w:hint="eastAsia" w:ascii="宋体" w:hAnsi="宋体"/>
          <w:b/>
          <w:u w:val="single"/>
        </w:rPr>
        <w:t xml:space="preserve">  </w:t>
      </w:r>
      <w:r>
        <w:rPr>
          <w:rFonts w:hint="eastAsia" w:asciiTheme="minorEastAsia" w:hAnsiTheme="minorEastAsia" w:eastAsiaTheme="minorEastAsia"/>
          <w:b/>
          <w:u w:val="single"/>
        </w:rPr>
        <w:t xml:space="preserve">/  </w:t>
      </w:r>
      <w:r>
        <w:rPr>
          <w:rFonts w:hint="eastAsia" w:asciiTheme="minorEastAsia" w:hAnsiTheme="minorEastAsia" w:eastAsiaTheme="minorEastAsia"/>
          <w:b/>
        </w:rPr>
        <w:t>%</w:t>
      </w:r>
      <w:r>
        <w:rPr>
          <w:rFonts w:asciiTheme="minorEastAsia" w:hAnsiTheme="minorEastAsia" w:eastAsiaTheme="minorEastAsia"/>
          <w:b/>
        </w:rPr>
        <w:t xml:space="preserve"> </w:t>
      </w:r>
      <w:r>
        <w:rPr>
          <w:rFonts w:hint="eastAsia" w:asciiTheme="minorEastAsia" w:hAnsiTheme="minorEastAsia" w:eastAsiaTheme="minorEastAsia"/>
          <w:b/>
        </w:rPr>
        <w:t>（请在4</w:t>
      </w:r>
      <w:r>
        <w:rPr>
          <w:rFonts w:asciiTheme="minorEastAsia" w:hAnsiTheme="minorEastAsia" w:eastAsiaTheme="minorEastAsia"/>
          <w:b/>
        </w:rPr>
        <w:t>%-</w:t>
      </w:r>
      <w:r>
        <w:rPr>
          <w:rFonts w:hint="eastAsia" w:asciiTheme="minorEastAsia" w:hAnsiTheme="minorEastAsia" w:eastAsiaTheme="minorEastAsia"/>
          <w:b/>
        </w:rPr>
        <w:t>6</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rPr>
        <w:t>的价格扣除</w:t>
      </w:r>
      <w:r>
        <w:rPr>
          <w:rFonts w:hint="eastAsia" w:ascii="宋体" w:hAnsi="宋体"/>
        </w:rPr>
        <w:t>，用扣除后的价格参与评审。</w:t>
      </w:r>
    </w:p>
    <w:p w14:paraId="146D1F1A">
      <w:pPr>
        <w:spacing w:after="60" w:line="360" w:lineRule="auto"/>
        <w:ind w:firstLine="424" w:firstLineChars="202"/>
        <w:rPr>
          <w:rFonts w:ascii="宋体" w:hAnsi="宋体"/>
        </w:rPr>
      </w:pPr>
      <w:r>
        <w:rPr>
          <w:rFonts w:hint="eastAsia" w:ascii="宋体" w:hAnsi="宋体"/>
        </w:rPr>
        <w:t>（4）</w:t>
      </w:r>
      <w:r>
        <w:rPr>
          <w:rFonts w:hint="eastAsia" w:asciiTheme="minorEastAsia" w:hAnsiTheme="minorEastAsia" w:eastAsiaTheme="minorEastAsia"/>
        </w:rPr>
        <w:t>如供应商为</w:t>
      </w:r>
      <w:r>
        <w:rPr>
          <w:rFonts w:hint="eastAsia" w:hAnsi="宋体"/>
        </w:rPr>
        <w:t>监狱企业</w:t>
      </w:r>
      <w:r>
        <w:rPr>
          <w:rFonts w:hint="eastAsia" w:hAnsi="宋体"/>
          <w:szCs w:val="21"/>
        </w:rPr>
        <w:t>或残疾人福利性单位，</w:t>
      </w:r>
      <w:r>
        <w:rPr>
          <w:rFonts w:hint="eastAsia" w:hAnsi="宋体"/>
        </w:rPr>
        <w:t>视同</w:t>
      </w:r>
      <w:r>
        <w:rPr>
          <w:rFonts w:hint="eastAsia" w:asciiTheme="minorEastAsia" w:hAnsiTheme="minorEastAsia" w:eastAsiaTheme="minorEastAsia"/>
        </w:rPr>
        <w:t>小型、微型企业，</w:t>
      </w:r>
      <w:r>
        <w:rPr>
          <w:rFonts w:hint="eastAsia" w:hAnsi="宋体"/>
        </w:rPr>
        <w:t>享受以上预留份额、评审中价格扣除等政府采购促进中小企业发展的政府采购政策；</w:t>
      </w:r>
      <w:r>
        <w:rPr>
          <w:rFonts w:hint="eastAsia" w:asciiTheme="minorEastAsia" w:hAnsiTheme="minorEastAsia" w:eastAsiaTheme="minorEastAsia"/>
        </w:rPr>
        <w:t>对于同时属于小型、微型企业、监狱企业或残疾人福利性单位的供应商，不重复享受政策。</w:t>
      </w:r>
    </w:p>
    <w:p w14:paraId="6373C3BC">
      <w:pPr>
        <w:spacing w:after="60" w:line="360" w:lineRule="auto"/>
        <w:ind w:firstLine="424" w:firstLineChars="202"/>
        <w:rPr>
          <w:rFonts w:ascii="宋体" w:hAnsi="宋体"/>
        </w:rPr>
      </w:pPr>
      <w:r>
        <w:rPr>
          <w:rFonts w:hint="eastAsia" w:ascii="宋体" w:hAnsi="宋体"/>
        </w:rPr>
        <w:t>（5）优惠主体资格的认定资料为《中小企业声明函》、《残疾人福利性单位声明函》以及《监狱企业声明函》等承诺性质的资料（</w:t>
      </w:r>
      <w:r>
        <w:rPr>
          <w:rFonts w:hint="eastAsia" w:ascii="宋体" w:hAnsi="宋体" w:cs="宋体"/>
          <w:szCs w:val="21"/>
        </w:rPr>
        <w:t>格式详见招标文件第三章</w:t>
      </w:r>
      <w:r>
        <w:rPr>
          <w:rFonts w:hint="eastAsia" w:ascii="宋体" w:hAnsi="宋体"/>
        </w:rPr>
        <w:t>）；监狱企业或者代理提供监狱企业货物的供应商如需享受优惠政策，除上述资料外，还须提供省级以上监狱管理局、戒毒管理局出具的监狱企业证明文件。</w:t>
      </w:r>
    </w:p>
    <w:p w14:paraId="4BF1531F">
      <w:pPr>
        <w:spacing w:line="360" w:lineRule="auto"/>
        <w:ind w:firstLine="422" w:firstLineChars="200"/>
        <w:rPr>
          <w:rFonts w:asciiTheme="minorEastAsia" w:hAnsiTheme="minorEastAsia" w:eastAsiaTheme="minorEastAsia"/>
          <w:b/>
          <w:szCs w:val="21"/>
        </w:rPr>
      </w:pPr>
    </w:p>
    <w:p w14:paraId="12BD49F7">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ascii="Times New Roman" w:hAnsi="Times New Roman"/>
          <w:b/>
          <w:szCs w:val="24"/>
        </w:rPr>
        <w:t>绿色采购</w:t>
      </w:r>
    </w:p>
    <w:p w14:paraId="6B09A0EF">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szCs w:val="24"/>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szCs w:val="24"/>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szCs w:val="24"/>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37181E22">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3EBD7E51">
      <w:pPr>
        <w:spacing w:line="360" w:lineRule="auto"/>
        <w:rPr>
          <w:rFonts w:ascii="Times New Roman" w:hAnsi="Times New Roman"/>
          <w:b/>
          <w:bCs/>
          <w:sz w:val="24"/>
          <w:szCs w:val="24"/>
        </w:rPr>
      </w:pPr>
    </w:p>
    <w:p w14:paraId="5C810989">
      <w:pPr>
        <w:spacing w:line="360" w:lineRule="auto"/>
        <w:ind w:firstLine="422" w:firstLineChars="200"/>
        <w:rPr>
          <w:rFonts w:ascii="宋体" w:hAnsi="宋体"/>
          <w:b/>
          <w:szCs w:val="21"/>
        </w:rPr>
      </w:pPr>
      <w:r>
        <w:rPr>
          <w:rFonts w:hint="eastAsia" w:asciiTheme="minorEastAsia" w:hAnsiTheme="minorEastAsia" w:eastAsiaTheme="minorEastAsia"/>
          <w:b/>
          <w:szCs w:val="21"/>
        </w:rPr>
        <w:t>五、</w:t>
      </w:r>
      <w:r>
        <w:rPr>
          <w:rFonts w:hint="eastAsia" w:ascii="Times New Roman" w:hAnsi="Times New Roman"/>
          <w:b/>
          <w:szCs w:val="24"/>
        </w:rPr>
        <w:t>其他说明</w:t>
      </w:r>
    </w:p>
    <w:p w14:paraId="691E08D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p>
    <w:p w14:paraId="3B9E8511">
      <w:pPr>
        <w:widowControl/>
        <w:jc w:val="left"/>
        <w:rPr>
          <w:rFonts w:ascii="宋体" w:hAnsi="宋体" w:eastAsia="黑体"/>
          <w:b/>
          <w:bCs/>
          <w:kern w:val="44"/>
          <w:sz w:val="28"/>
          <w:szCs w:val="44"/>
        </w:rPr>
      </w:pPr>
      <w:r>
        <w:rPr>
          <w:rFonts w:ascii="宋体" w:hAnsi="宋体" w:eastAsia="黑体"/>
          <w:b/>
          <w:bCs/>
          <w:kern w:val="44"/>
          <w:sz w:val="28"/>
          <w:szCs w:val="44"/>
        </w:rPr>
        <w:br w:type="page"/>
      </w:r>
    </w:p>
    <w:p w14:paraId="6228357C">
      <w:pPr>
        <w:keepNext/>
        <w:keepLines/>
        <w:spacing w:before="340" w:after="330" w:line="360" w:lineRule="auto"/>
        <w:jc w:val="center"/>
        <w:outlineLvl w:val="0"/>
        <w:rPr>
          <w:rFonts w:ascii="宋体" w:hAnsi="宋体" w:eastAsia="黑体"/>
          <w:b/>
          <w:bCs/>
          <w:kern w:val="44"/>
          <w:sz w:val="28"/>
          <w:szCs w:val="44"/>
        </w:rPr>
      </w:pPr>
      <w:r>
        <w:rPr>
          <w:rFonts w:hint="eastAsia" w:ascii="宋体" w:hAnsi="宋体" w:eastAsia="黑体"/>
          <w:b/>
          <w:bCs/>
          <w:kern w:val="44"/>
          <w:sz w:val="28"/>
          <w:szCs w:val="44"/>
        </w:rPr>
        <w:t>目   录</w:t>
      </w:r>
    </w:p>
    <w:p w14:paraId="06D51CBD">
      <w:pPr>
        <w:rPr>
          <w:rFonts w:ascii="Times New Roman" w:hAnsi="Times New Roman"/>
          <w:b/>
          <w:sz w:val="24"/>
          <w:szCs w:val="24"/>
        </w:rPr>
      </w:pPr>
      <w:r>
        <w:rPr>
          <w:rFonts w:hint="eastAsia" w:ascii="Times New Roman" w:hAnsi="Times New Roman"/>
          <w:b/>
          <w:sz w:val="24"/>
          <w:szCs w:val="24"/>
        </w:rPr>
        <w:t>第一册  专用条款</w:t>
      </w:r>
    </w:p>
    <w:p w14:paraId="1D73005F">
      <w:pPr>
        <w:ind w:left="630" w:leftChars="300" w:firstLine="411" w:firstLineChars="196"/>
        <w:rPr>
          <w:rFonts w:ascii="宋体" w:hAnsi="宋体"/>
          <w:szCs w:val="21"/>
        </w:rPr>
      </w:pPr>
      <w:r>
        <w:rPr>
          <w:rFonts w:hint="eastAsia" w:ascii="宋体" w:hAnsi="宋体"/>
          <w:szCs w:val="21"/>
        </w:rPr>
        <w:t>关键信息</w:t>
      </w:r>
    </w:p>
    <w:p w14:paraId="22BDD108">
      <w:pPr>
        <w:ind w:left="630" w:leftChars="300" w:firstLine="411" w:firstLineChars="196"/>
        <w:rPr>
          <w:rFonts w:ascii="宋体" w:hAnsi="宋体"/>
          <w:szCs w:val="21"/>
        </w:rPr>
      </w:pPr>
      <w:r>
        <w:rPr>
          <w:rFonts w:hint="eastAsia" w:ascii="宋体" w:hAnsi="宋体"/>
          <w:szCs w:val="21"/>
        </w:rPr>
        <w:t>第一章  招标公告</w:t>
      </w:r>
    </w:p>
    <w:p w14:paraId="13230D43">
      <w:pPr>
        <w:ind w:left="630" w:leftChars="300" w:firstLine="411" w:firstLineChars="196"/>
        <w:rPr>
          <w:rFonts w:ascii="宋体" w:hAnsi="宋体"/>
          <w:szCs w:val="21"/>
        </w:rPr>
      </w:pPr>
      <w:r>
        <w:rPr>
          <w:rFonts w:hint="eastAsia" w:ascii="宋体" w:hAnsi="宋体"/>
          <w:szCs w:val="21"/>
        </w:rPr>
        <w:t>第二章  招标项目需求</w:t>
      </w:r>
    </w:p>
    <w:p w14:paraId="1D677BCE">
      <w:pPr>
        <w:ind w:left="630" w:leftChars="300" w:firstLine="411" w:firstLineChars="196"/>
        <w:rPr>
          <w:rFonts w:ascii="宋体" w:hAnsi="宋体"/>
          <w:szCs w:val="21"/>
        </w:rPr>
      </w:pPr>
      <w:r>
        <w:rPr>
          <w:rFonts w:hint="eastAsia" w:ascii="宋体" w:hAnsi="宋体"/>
          <w:szCs w:val="21"/>
        </w:rPr>
        <w:t>第三章  投标文件格式、附件</w:t>
      </w:r>
    </w:p>
    <w:p w14:paraId="0272EB67">
      <w:pPr>
        <w:ind w:left="630" w:leftChars="300" w:firstLine="411" w:firstLineChars="196"/>
        <w:rPr>
          <w:rFonts w:ascii="宋体" w:hAnsi="宋体"/>
          <w:szCs w:val="21"/>
        </w:rPr>
      </w:pPr>
      <w:r>
        <w:rPr>
          <w:rFonts w:hint="eastAsia" w:ascii="宋体" w:hAnsi="宋体"/>
          <w:szCs w:val="21"/>
        </w:rPr>
        <w:t>第四章  合同及履约情况反馈格式</w:t>
      </w:r>
    </w:p>
    <w:p w14:paraId="726F22F4">
      <w:pPr>
        <w:ind w:left="630" w:leftChars="300" w:firstLine="411" w:firstLineChars="196"/>
        <w:rPr>
          <w:rFonts w:ascii="宋体" w:hAnsi="宋体"/>
          <w:szCs w:val="21"/>
        </w:rPr>
      </w:pPr>
      <w:r>
        <w:rPr>
          <w:rFonts w:hint="eastAsia" w:ascii="宋体" w:hAnsi="宋体"/>
          <w:szCs w:val="21"/>
        </w:rPr>
        <w:t>第五章  附件</w:t>
      </w:r>
    </w:p>
    <w:p w14:paraId="1EA22924">
      <w:pPr>
        <w:ind w:left="630" w:leftChars="300" w:firstLine="411" w:firstLineChars="196"/>
        <w:rPr>
          <w:rFonts w:ascii="宋体" w:hAnsi="宋体"/>
          <w:szCs w:val="21"/>
        </w:rPr>
      </w:pPr>
    </w:p>
    <w:p w14:paraId="7FFB57CE">
      <w:pPr>
        <w:rPr>
          <w:rFonts w:ascii="Times New Roman" w:hAnsi="Times New Roman"/>
          <w:b/>
          <w:sz w:val="24"/>
          <w:szCs w:val="24"/>
        </w:rPr>
      </w:pPr>
    </w:p>
    <w:p w14:paraId="126CCCDD">
      <w:pPr>
        <w:rPr>
          <w:rFonts w:ascii="Times New Roman" w:hAnsi="Times New Roman"/>
          <w:b/>
          <w:sz w:val="24"/>
          <w:szCs w:val="24"/>
        </w:rPr>
      </w:pPr>
      <w:r>
        <w:rPr>
          <w:rFonts w:hint="eastAsia" w:ascii="Times New Roman" w:hAnsi="Times New Roman"/>
          <w:b/>
          <w:sz w:val="24"/>
          <w:szCs w:val="24"/>
        </w:rPr>
        <w:t>第二册  通用条款</w:t>
      </w:r>
    </w:p>
    <w:p w14:paraId="47D9B35C">
      <w:pPr>
        <w:ind w:left="630" w:leftChars="300" w:firstLine="411" w:firstLineChars="196"/>
        <w:rPr>
          <w:rFonts w:ascii="宋体" w:hAnsi="宋体"/>
          <w:szCs w:val="21"/>
        </w:rPr>
      </w:pPr>
      <w:r>
        <w:rPr>
          <w:rFonts w:hint="eastAsia" w:ascii="宋体" w:hAnsi="宋体"/>
          <w:szCs w:val="21"/>
        </w:rPr>
        <w:t>第一章  总则</w:t>
      </w:r>
    </w:p>
    <w:p w14:paraId="2ED2286A">
      <w:pPr>
        <w:ind w:left="630" w:leftChars="300" w:firstLine="411" w:firstLineChars="196"/>
        <w:rPr>
          <w:rFonts w:ascii="宋体" w:hAnsi="宋体"/>
          <w:szCs w:val="21"/>
        </w:rPr>
      </w:pPr>
      <w:r>
        <w:rPr>
          <w:rFonts w:hint="eastAsia" w:ascii="宋体" w:hAnsi="宋体"/>
          <w:szCs w:val="21"/>
        </w:rPr>
        <w:t>第二章  招标文件</w:t>
      </w:r>
    </w:p>
    <w:p w14:paraId="5F60043E">
      <w:pPr>
        <w:ind w:left="630" w:leftChars="300" w:firstLine="411" w:firstLineChars="196"/>
        <w:rPr>
          <w:rFonts w:ascii="宋体" w:hAnsi="宋体"/>
          <w:szCs w:val="21"/>
        </w:rPr>
      </w:pPr>
      <w:r>
        <w:rPr>
          <w:rFonts w:hint="eastAsia" w:ascii="宋体" w:hAnsi="宋体"/>
          <w:szCs w:val="21"/>
        </w:rPr>
        <w:t>第三章  投标文件的编制</w:t>
      </w:r>
    </w:p>
    <w:p w14:paraId="133668E9">
      <w:pPr>
        <w:ind w:left="630" w:leftChars="300" w:firstLine="411" w:firstLineChars="196"/>
        <w:rPr>
          <w:rFonts w:ascii="宋体" w:hAnsi="宋体"/>
          <w:szCs w:val="21"/>
        </w:rPr>
      </w:pPr>
      <w:r>
        <w:rPr>
          <w:rFonts w:hint="eastAsia" w:ascii="宋体" w:hAnsi="宋体"/>
          <w:szCs w:val="21"/>
        </w:rPr>
        <w:t>第四章  投标文件的递交</w:t>
      </w:r>
    </w:p>
    <w:p w14:paraId="6DFA4FED">
      <w:pPr>
        <w:ind w:left="630" w:leftChars="300" w:firstLine="411" w:firstLineChars="196"/>
        <w:rPr>
          <w:rFonts w:ascii="宋体" w:hAnsi="宋体"/>
          <w:szCs w:val="21"/>
        </w:rPr>
      </w:pPr>
      <w:r>
        <w:rPr>
          <w:rFonts w:hint="eastAsia" w:ascii="宋体" w:hAnsi="宋体"/>
          <w:szCs w:val="21"/>
        </w:rPr>
        <w:t>第五章  开标</w:t>
      </w:r>
    </w:p>
    <w:p w14:paraId="5718BDBD">
      <w:pPr>
        <w:ind w:left="630" w:leftChars="300" w:firstLine="411" w:firstLineChars="196"/>
        <w:rPr>
          <w:rFonts w:ascii="宋体" w:hAnsi="宋体"/>
          <w:szCs w:val="21"/>
        </w:rPr>
      </w:pPr>
      <w:r>
        <w:rPr>
          <w:rFonts w:hint="eastAsia" w:ascii="宋体" w:hAnsi="宋体"/>
          <w:szCs w:val="21"/>
        </w:rPr>
        <w:t>第六章  评标要求</w:t>
      </w:r>
    </w:p>
    <w:p w14:paraId="5155502A">
      <w:pPr>
        <w:ind w:left="630" w:leftChars="300" w:firstLine="411" w:firstLineChars="196"/>
        <w:rPr>
          <w:rFonts w:ascii="宋体" w:hAnsi="宋体"/>
          <w:szCs w:val="21"/>
        </w:rPr>
      </w:pPr>
      <w:r>
        <w:rPr>
          <w:rFonts w:hint="eastAsia" w:ascii="宋体" w:hAnsi="宋体"/>
          <w:szCs w:val="21"/>
        </w:rPr>
        <w:t>第七章  评标程序及评标方法</w:t>
      </w:r>
    </w:p>
    <w:p w14:paraId="6749F0EA">
      <w:pPr>
        <w:ind w:left="630" w:leftChars="300" w:firstLine="411" w:firstLineChars="196"/>
        <w:rPr>
          <w:rFonts w:ascii="宋体" w:hAnsi="宋体"/>
          <w:szCs w:val="21"/>
        </w:rPr>
      </w:pPr>
      <w:r>
        <w:rPr>
          <w:rFonts w:hint="eastAsia" w:ascii="宋体" w:hAnsi="宋体"/>
          <w:szCs w:val="21"/>
        </w:rPr>
        <w:t>第八章  定标及公示</w:t>
      </w:r>
    </w:p>
    <w:p w14:paraId="089C7253">
      <w:pPr>
        <w:ind w:left="630" w:leftChars="300" w:firstLine="411" w:firstLineChars="196"/>
        <w:rPr>
          <w:rFonts w:ascii="宋体" w:hAnsi="宋体"/>
          <w:szCs w:val="21"/>
        </w:rPr>
      </w:pPr>
      <w:r>
        <w:rPr>
          <w:rFonts w:hint="eastAsia" w:ascii="宋体" w:hAnsi="宋体"/>
          <w:szCs w:val="21"/>
        </w:rPr>
        <w:t>第九章  公开招标失败的后续处理</w:t>
      </w:r>
    </w:p>
    <w:p w14:paraId="39F2FC8A">
      <w:pPr>
        <w:ind w:left="630" w:leftChars="300" w:firstLine="411" w:firstLineChars="196"/>
        <w:rPr>
          <w:rFonts w:ascii="宋体" w:hAnsi="宋体"/>
          <w:szCs w:val="21"/>
        </w:rPr>
      </w:pPr>
      <w:r>
        <w:rPr>
          <w:rFonts w:hint="eastAsia" w:ascii="宋体" w:hAnsi="宋体"/>
          <w:szCs w:val="21"/>
        </w:rPr>
        <w:t>第十章  合同的授予与备案</w:t>
      </w:r>
    </w:p>
    <w:p w14:paraId="1D6F1A26">
      <w:pPr>
        <w:ind w:left="630" w:leftChars="300" w:firstLine="411" w:firstLineChars="196"/>
        <w:rPr>
          <w:rFonts w:ascii="宋体" w:hAnsi="宋体"/>
          <w:szCs w:val="21"/>
        </w:rPr>
      </w:pPr>
      <w:r>
        <w:rPr>
          <w:rFonts w:hint="eastAsia" w:ascii="宋体" w:hAnsi="宋体"/>
          <w:szCs w:val="21"/>
        </w:rPr>
        <w:t>第十一章  质疑处理</w:t>
      </w:r>
    </w:p>
    <w:p w14:paraId="250B4742">
      <w:pPr>
        <w:rPr>
          <w:rFonts w:ascii="Times New Roman" w:hAnsi="Times New Roman"/>
          <w:sz w:val="24"/>
          <w:szCs w:val="24"/>
        </w:rPr>
      </w:pPr>
    </w:p>
    <w:p w14:paraId="4F0D64DF">
      <w:pPr>
        <w:rPr>
          <w:rFonts w:ascii="Times New Roman" w:hAnsi="Times New Roman"/>
          <w:b/>
          <w:szCs w:val="24"/>
        </w:rPr>
      </w:pPr>
      <w:r>
        <w:rPr>
          <w:rFonts w:hint="eastAsia" w:ascii="Times New Roman" w:hAnsi="Times New Roman"/>
          <w:b/>
          <w:szCs w:val="24"/>
        </w:rPr>
        <w:t>备注：</w:t>
      </w:r>
    </w:p>
    <w:p w14:paraId="4DC08AA8">
      <w:pPr>
        <w:ind w:firstLine="420" w:firstLineChars="200"/>
        <w:rPr>
          <w:rFonts w:ascii="Times New Roman" w:hAnsi="Times New Roman"/>
          <w:b/>
          <w:szCs w:val="24"/>
        </w:rPr>
      </w:pPr>
      <w:r>
        <w:rPr>
          <w:rFonts w:hint="eastAsia" w:ascii="宋体" w:hAnsi="宋体"/>
          <w:szCs w:val="21"/>
        </w:rPr>
        <w:t>1.本招标文件分为第一册“专用条款”和第二册“通用条款”。</w:t>
      </w:r>
    </w:p>
    <w:p w14:paraId="278EE8EA">
      <w:pPr>
        <w:spacing w:line="360" w:lineRule="auto"/>
        <w:ind w:firstLine="420" w:firstLineChars="200"/>
        <w:jc w:val="left"/>
        <w:rPr>
          <w:rFonts w:ascii="宋体" w:hAnsi="宋体"/>
          <w:szCs w:val="21"/>
        </w:rPr>
      </w:pPr>
      <w:r>
        <w:rPr>
          <w:rFonts w:hint="eastAsia" w:ascii="宋体" w:hAnsi="宋体"/>
          <w:szCs w:val="21"/>
        </w:rPr>
        <w:t>2.“专用条款”是对本次采购项目的具体要求，包含招标公告、招标项目需求、投标文件格式、合同及履约情况反馈格式等内容。</w:t>
      </w:r>
    </w:p>
    <w:p w14:paraId="60E261C5">
      <w:pPr>
        <w:spacing w:line="360" w:lineRule="auto"/>
        <w:ind w:firstLine="420" w:firstLineChars="200"/>
        <w:jc w:val="left"/>
        <w:rPr>
          <w:rFonts w:ascii="宋体" w:hAnsi="宋体"/>
          <w:szCs w:val="21"/>
        </w:rPr>
      </w:pPr>
      <w:r>
        <w:rPr>
          <w:rFonts w:hint="eastAsia" w:ascii="宋体" w:hAnsi="宋体"/>
          <w:szCs w:val="21"/>
        </w:rPr>
        <w:t>3.“通用条款”是适用于政府采购项目的基础性条款，具有普遍性和通用性。</w:t>
      </w:r>
    </w:p>
    <w:p w14:paraId="7BE843AA">
      <w:pPr>
        <w:spacing w:line="360" w:lineRule="auto"/>
        <w:ind w:firstLine="420" w:firstLineChars="200"/>
        <w:jc w:val="left"/>
        <w:rPr>
          <w:rFonts w:ascii="宋体" w:hAnsi="宋体"/>
          <w:szCs w:val="21"/>
        </w:rPr>
      </w:pPr>
      <w:r>
        <w:rPr>
          <w:rFonts w:hint="eastAsia" w:ascii="宋体" w:hAnsi="宋体"/>
          <w:szCs w:val="21"/>
        </w:rPr>
        <w:t>4.当出现“专用条款”和“通用条款”表述不一致或有冲突时，以“专用条款”为准。</w:t>
      </w:r>
    </w:p>
    <w:p w14:paraId="2A5B7EFC">
      <w:pPr>
        <w:rPr>
          <w:rFonts w:ascii="宋体" w:hAnsi="宋体"/>
          <w:szCs w:val="21"/>
        </w:rPr>
      </w:pPr>
    </w:p>
    <w:p w14:paraId="4D50EC61">
      <w:pPr>
        <w:widowControl/>
        <w:jc w:val="left"/>
        <w:rPr>
          <w:rFonts w:ascii="宋体" w:hAnsi="宋体" w:eastAsia="黑体"/>
          <w:b/>
          <w:bCs/>
          <w:kern w:val="44"/>
          <w:sz w:val="28"/>
          <w:szCs w:val="44"/>
        </w:rPr>
      </w:pPr>
      <w:r>
        <w:rPr>
          <w:rFonts w:ascii="Times New Roman" w:hAnsi="Times New Roman"/>
          <w:szCs w:val="24"/>
        </w:rPr>
        <w:br w:type="page"/>
      </w:r>
    </w:p>
    <w:p w14:paraId="7E9A7410">
      <w:pPr>
        <w:spacing w:before="340" w:after="330" w:line="360" w:lineRule="auto"/>
        <w:jc w:val="center"/>
        <w:outlineLvl w:val="0"/>
        <w:rPr>
          <w:rFonts w:ascii="宋体" w:hAnsi="宋体" w:eastAsia="黑体"/>
          <w:b/>
          <w:bCs/>
          <w:kern w:val="44"/>
          <w:sz w:val="24"/>
          <w:szCs w:val="44"/>
        </w:rPr>
      </w:pPr>
      <w:r>
        <w:rPr>
          <w:rFonts w:hint="eastAsia" w:ascii="宋体" w:hAnsi="宋体" w:eastAsia="黑体"/>
          <w:b/>
          <w:bCs/>
          <w:kern w:val="44"/>
          <w:sz w:val="28"/>
          <w:szCs w:val="44"/>
        </w:rPr>
        <w:t>第一册  专用条款</w:t>
      </w:r>
    </w:p>
    <w:p w14:paraId="4BAA5C42">
      <w:pPr>
        <w:adjustRightInd w:val="0"/>
        <w:spacing w:before="260" w:after="260" w:line="360" w:lineRule="exact"/>
        <w:jc w:val="center"/>
        <w:textAlignment w:val="baseline"/>
        <w:outlineLvl w:val="1"/>
        <w:rPr>
          <w:rFonts w:ascii="宋体" w:hAnsi="宋体"/>
          <w:b/>
          <w:bCs/>
          <w:kern w:val="0"/>
          <w:sz w:val="24"/>
          <w:szCs w:val="20"/>
        </w:rPr>
      </w:pPr>
      <w:r>
        <w:rPr>
          <w:rFonts w:hint="eastAsia" w:ascii="宋体" w:hAnsi="宋体"/>
          <w:b/>
          <w:bCs/>
          <w:kern w:val="0"/>
          <w:sz w:val="24"/>
          <w:szCs w:val="20"/>
        </w:rPr>
        <w:t>第一章  招标公告</w:t>
      </w:r>
    </w:p>
    <w:p w14:paraId="50069A6A">
      <w:pPr>
        <w:spacing w:line="360" w:lineRule="exact"/>
        <w:rPr>
          <w:rFonts w:ascii="宋体" w:hAnsi="宋体"/>
          <w:vanish/>
          <w:szCs w:val="21"/>
        </w:rPr>
      </w:pPr>
    </w:p>
    <w:p w14:paraId="13764FA7">
      <w:pPr>
        <w:pStyle w:val="37"/>
        <w:widowControl w:val="0"/>
        <w:spacing w:before="0" w:beforeAutospacing="0" w:after="0" w:afterAutospacing="0" w:line="360" w:lineRule="exact"/>
        <w:rPr>
          <w:sz w:val="21"/>
          <w:szCs w:val="21"/>
        </w:rPr>
      </w:pPr>
      <w:r>
        <w:rPr>
          <w:rFonts w:hint="eastAsia"/>
          <w:sz w:val="21"/>
          <w:szCs w:val="21"/>
        </w:rPr>
        <w:t>项目概况:</w:t>
      </w:r>
    </w:p>
    <w:p w14:paraId="1C0F9497">
      <w:pPr>
        <w:pStyle w:val="37"/>
        <w:widowControl w:val="0"/>
        <w:spacing w:before="0" w:beforeAutospacing="0" w:after="0" w:afterAutospacing="0" w:line="360" w:lineRule="exact"/>
        <w:ind w:firstLine="424" w:firstLineChars="202"/>
        <w:rPr>
          <w:sz w:val="21"/>
          <w:szCs w:val="21"/>
        </w:rPr>
      </w:pPr>
      <w:r>
        <w:rPr>
          <w:rFonts w:hint="eastAsia"/>
          <w:sz w:val="21"/>
          <w:szCs w:val="21"/>
          <w:lang w:eastAsia="zh-CN"/>
        </w:rPr>
        <w:t>层流净化空调维保服务项目</w:t>
      </w:r>
      <w:r>
        <w:rPr>
          <w:rFonts w:hint="eastAsia"/>
          <w:sz w:val="21"/>
          <w:szCs w:val="21"/>
        </w:rPr>
        <w:t xml:space="preserve">招标项目的潜在投标人应在（本公告附件中）获取招标文件，并于 </w:t>
      </w:r>
      <w:r>
        <w:rPr>
          <w:rFonts w:hint="eastAsia"/>
          <w:b/>
          <w:sz w:val="21"/>
          <w:szCs w:val="21"/>
          <w:u w:val="single"/>
        </w:rPr>
        <w:t>2025年</w:t>
      </w:r>
      <w:r>
        <w:rPr>
          <w:rFonts w:hint="eastAsia"/>
          <w:b/>
          <w:sz w:val="21"/>
          <w:szCs w:val="21"/>
          <w:u w:val="single"/>
          <w:lang w:val="en-US" w:eastAsia="zh-CN"/>
        </w:rPr>
        <w:t>09</w:t>
      </w:r>
      <w:r>
        <w:rPr>
          <w:rFonts w:hint="eastAsia"/>
          <w:b/>
          <w:sz w:val="21"/>
          <w:szCs w:val="21"/>
          <w:u w:val="single"/>
        </w:rPr>
        <w:t>月</w:t>
      </w:r>
      <w:r>
        <w:rPr>
          <w:rFonts w:hint="eastAsia"/>
          <w:b/>
          <w:sz w:val="21"/>
          <w:szCs w:val="21"/>
          <w:u w:val="single"/>
          <w:lang w:val="en-US" w:eastAsia="zh-CN"/>
        </w:rPr>
        <w:t>29</w:t>
      </w:r>
      <w:r>
        <w:rPr>
          <w:rFonts w:hint="eastAsia"/>
          <w:b/>
          <w:sz w:val="21"/>
          <w:szCs w:val="21"/>
          <w:u w:val="single"/>
        </w:rPr>
        <w:t>日</w:t>
      </w:r>
      <w:r>
        <w:rPr>
          <w:rFonts w:hint="eastAsia"/>
          <w:b/>
          <w:sz w:val="21"/>
          <w:szCs w:val="21"/>
          <w:u w:val="single"/>
          <w:lang w:val="en-US" w:eastAsia="zh-CN"/>
        </w:rPr>
        <w:t>09</w:t>
      </w:r>
      <w:r>
        <w:rPr>
          <w:rFonts w:hint="eastAsia"/>
          <w:b/>
          <w:sz w:val="21"/>
          <w:szCs w:val="21"/>
          <w:u w:val="single"/>
        </w:rPr>
        <w:t>:00（北京时间）</w:t>
      </w:r>
      <w:r>
        <w:rPr>
          <w:rFonts w:hint="eastAsia"/>
          <w:sz w:val="21"/>
          <w:szCs w:val="21"/>
        </w:rPr>
        <w:t xml:space="preserve">前递交投标文件。 </w:t>
      </w:r>
    </w:p>
    <w:p w14:paraId="1963F957">
      <w:pPr>
        <w:pStyle w:val="37"/>
        <w:widowControl w:val="0"/>
        <w:spacing w:before="0" w:beforeAutospacing="0" w:after="0" w:afterAutospacing="0" w:line="360" w:lineRule="exact"/>
        <w:rPr>
          <w:sz w:val="21"/>
          <w:szCs w:val="21"/>
        </w:rPr>
      </w:pPr>
    </w:p>
    <w:p w14:paraId="352AB9CD">
      <w:pPr>
        <w:pStyle w:val="37"/>
        <w:widowControl w:val="0"/>
        <w:spacing w:before="0" w:beforeAutospacing="0" w:after="0" w:afterAutospacing="0" w:line="360" w:lineRule="exact"/>
        <w:rPr>
          <w:sz w:val="21"/>
          <w:szCs w:val="21"/>
        </w:rPr>
      </w:pPr>
      <w:r>
        <w:rPr>
          <w:rFonts w:hint="eastAsia"/>
          <w:sz w:val="21"/>
          <w:szCs w:val="21"/>
        </w:rPr>
        <w:t>一、项目基本情况</w:t>
      </w:r>
    </w:p>
    <w:p w14:paraId="2C9403A6">
      <w:pPr>
        <w:pStyle w:val="37"/>
        <w:widowControl w:val="0"/>
        <w:spacing w:before="0" w:beforeAutospacing="0" w:after="0" w:afterAutospacing="0" w:line="360" w:lineRule="exact"/>
        <w:ind w:firstLine="424" w:firstLineChars="202"/>
        <w:rPr>
          <w:rFonts w:hint="eastAsia" w:eastAsia="宋体"/>
          <w:sz w:val="21"/>
          <w:szCs w:val="21"/>
          <w:lang w:eastAsia="zh-CN"/>
        </w:rPr>
      </w:pPr>
      <w:r>
        <w:rPr>
          <w:rFonts w:hint="eastAsia"/>
          <w:sz w:val="21"/>
          <w:szCs w:val="21"/>
        </w:rPr>
        <w:t>1.项目编号：</w:t>
      </w:r>
      <w:r>
        <w:rPr>
          <w:rFonts w:hint="eastAsia"/>
          <w:sz w:val="21"/>
          <w:szCs w:val="21"/>
          <w:lang w:eastAsia="zh-CN"/>
        </w:rPr>
        <w:t>SZDL2025001517</w:t>
      </w:r>
    </w:p>
    <w:p w14:paraId="4B84924A">
      <w:pPr>
        <w:pStyle w:val="37"/>
        <w:widowControl w:val="0"/>
        <w:spacing w:before="0" w:beforeAutospacing="0" w:after="0" w:afterAutospacing="0" w:line="360" w:lineRule="exact"/>
        <w:ind w:firstLine="424" w:firstLineChars="202"/>
        <w:rPr>
          <w:rFonts w:hint="eastAsia" w:eastAsia="宋体"/>
          <w:sz w:val="21"/>
          <w:szCs w:val="21"/>
          <w:lang w:eastAsia="zh-CN"/>
        </w:rPr>
      </w:pPr>
      <w:r>
        <w:rPr>
          <w:rFonts w:hint="eastAsia"/>
          <w:sz w:val="21"/>
          <w:szCs w:val="21"/>
        </w:rPr>
        <w:t>2.项目名称：</w:t>
      </w:r>
      <w:r>
        <w:rPr>
          <w:rFonts w:hint="eastAsia"/>
          <w:sz w:val="21"/>
          <w:szCs w:val="21"/>
          <w:lang w:eastAsia="zh-CN"/>
        </w:rPr>
        <w:t>层流净化空调维保服务项目</w:t>
      </w:r>
    </w:p>
    <w:p w14:paraId="3CE3C482">
      <w:pPr>
        <w:pStyle w:val="37"/>
        <w:widowControl w:val="0"/>
        <w:spacing w:before="0" w:beforeAutospacing="0" w:after="0" w:afterAutospacing="0" w:line="360" w:lineRule="exact"/>
        <w:ind w:firstLine="424" w:firstLineChars="202"/>
        <w:rPr>
          <w:sz w:val="21"/>
          <w:szCs w:val="21"/>
        </w:rPr>
      </w:pPr>
      <w:r>
        <w:rPr>
          <w:rFonts w:hint="eastAsia"/>
          <w:sz w:val="21"/>
          <w:szCs w:val="21"/>
        </w:rPr>
        <w:t>3.预算金额：1,780,000.00元</w:t>
      </w:r>
    </w:p>
    <w:p w14:paraId="7F1C399F">
      <w:pPr>
        <w:pStyle w:val="37"/>
        <w:widowControl w:val="0"/>
        <w:spacing w:before="0" w:beforeAutospacing="0" w:after="0" w:afterAutospacing="0" w:line="360" w:lineRule="exact"/>
        <w:ind w:firstLine="424" w:firstLineChars="202"/>
        <w:rPr>
          <w:sz w:val="21"/>
          <w:szCs w:val="21"/>
        </w:rPr>
      </w:pPr>
      <w:r>
        <w:rPr>
          <w:rFonts w:hint="eastAsia"/>
          <w:sz w:val="21"/>
          <w:szCs w:val="21"/>
        </w:rPr>
        <w:t>4.最高限价：1,780,000.00元</w:t>
      </w:r>
    </w:p>
    <w:p w14:paraId="482174BE">
      <w:pPr>
        <w:pStyle w:val="37"/>
        <w:widowControl w:val="0"/>
        <w:spacing w:before="0" w:beforeAutospacing="0" w:after="0" w:afterAutospacing="0" w:line="360" w:lineRule="exact"/>
        <w:ind w:firstLine="424" w:firstLineChars="202"/>
        <w:rPr>
          <w:sz w:val="21"/>
          <w:szCs w:val="21"/>
        </w:rPr>
      </w:pPr>
      <w:r>
        <w:rPr>
          <w:rFonts w:hint="eastAsia"/>
          <w:sz w:val="21"/>
          <w:szCs w:val="21"/>
        </w:rPr>
        <w:t>5.采购需求：</w:t>
      </w:r>
    </w:p>
    <w:tbl>
      <w:tblPr>
        <w:tblStyle w:val="42"/>
        <w:tblW w:w="8505"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3261"/>
        <w:gridCol w:w="850"/>
        <w:gridCol w:w="992"/>
        <w:gridCol w:w="2552"/>
        <w:gridCol w:w="850"/>
      </w:tblGrid>
      <w:tr w14:paraId="1C9F5038">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326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47D308B1">
            <w:pPr>
              <w:spacing w:line="360" w:lineRule="exact"/>
              <w:jc w:val="center"/>
              <w:rPr>
                <w:rFonts w:ascii="宋体" w:hAnsi="宋体" w:cs="宋体"/>
                <w:szCs w:val="21"/>
              </w:rPr>
            </w:pPr>
            <w:r>
              <w:rPr>
                <w:rFonts w:hint="eastAsia" w:ascii="宋体" w:hAnsi="宋体" w:cs="宋体"/>
                <w:szCs w:val="21"/>
              </w:rPr>
              <w:t>标的名称</w:t>
            </w:r>
          </w:p>
        </w:tc>
        <w:tc>
          <w:tcPr>
            <w:tcW w:w="850"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6FE7FC1">
            <w:pPr>
              <w:spacing w:line="360" w:lineRule="exact"/>
              <w:jc w:val="center"/>
              <w:rPr>
                <w:rFonts w:ascii="宋体" w:hAnsi="宋体" w:cs="宋体"/>
                <w:szCs w:val="21"/>
              </w:rPr>
            </w:pPr>
            <w:r>
              <w:rPr>
                <w:rFonts w:hint="eastAsia" w:ascii="宋体" w:hAnsi="宋体" w:cs="宋体"/>
                <w:szCs w:val="21"/>
              </w:rPr>
              <w:t>数量</w:t>
            </w:r>
          </w:p>
        </w:tc>
        <w:tc>
          <w:tcPr>
            <w:tcW w:w="992"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8C0CB35">
            <w:pPr>
              <w:spacing w:line="360" w:lineRule="exact"/>
              <w:jc w:val="center"/>
              <w:rPr>
                <w:rFonts w:ascii="宋体" w:hAnsi="宋体" w:cs="宋体"/>
                <w:szCs w:val="21"/>
              </w:rPr>
            </w:pPr>
            <w:r>
              <w:rPr>
                <w:rFonts w:hint="eastAsia" w:ascii="宋体" w:hAnsi="宋体" w:cs="宋体"/>
                <w:szCs w:val="21"/>
              </w:rPr>
              <w:t>单位</w:t>
            </w:r>
          </w:p>
        </w:tc>
        <w:tc>
          <w:tcPr>
            <w:tcW w:w="2552"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448EF500">
            <w:pPr>
              <w:spacing w:line="360" w:lineRule="exact"/>
              <w:jc w:val="center"/>
              <w:rPr>
                <w:rFonts w:ascii="宋体" w:hAnsi="宋体" w:cs="宋体"/>
                <w:szCs w:val="21"/>
              </w:rPr>
            </w:pPr>
            <w:r>
              <w:rPr>
                <w:rFonts w:hint="eastAsia" w:ascii="宋体" w:hAnsi="宋体" w:cs="宋体"/>
                <w:szCs w:val="21"/>
              </w:rPr>
              <w:t>简要技术需求（服务需求）</w:t>
            </w:r>
          </w:p>
        </w:tc>
        <w:tc>
          <w:tcPr>
            <w:tcW w:w="850"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0DA4FE98">
            <w:pPr>
              <w:spacing w:line="360" w:lineRule="exact"/>
              <w:jc w:val="center"/>
              <w:rPr>
                <w:rFonts w:ascii="宋体" w:hAnsi="宋体" w:cs="宋体"/>
                <w:szCs w:val="21"/>
              </w:rPr>
            </w:pPr>
            <w:r>
              <w:rPr>
                <w:rFonts w:hint="eastAsia" w:ascii="宋体" w:hAnsi="宋体" w:cs="宋体"/>
                <w:szCs w:val="21"/>
              </w:rPr>
              <w:t>备注</w:t>
            </w:r>
          </w:p>
        </w:tc>
      </w:tr>
      <w:tr w14:paraId="5DE4AC04">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3261" w:type="dxa"/>
            <w:tcBorders>
              <w:top w:val="outset" w:color="AAAAAA" w:sz="6" w:space="0"/>
              <w:left w:val="outset" w:color="AAAAAA" w:sz="6" w:space="0"/>
              <w:bottom w:val="outset" w:color="AAAAAA" w:sz="6" w:space="0"/>
              <w:right w:val="outset" w:color="AAAAAA" w:sz="6" w:space="0"/>
            </w:tcBorders>
            <w:shd w:val="clear" w:color="auto" w:fill="auto"/>
            <w:vAlign w:val="center"/>
          </w:tcPr>
          <w:p w14:paraId="3948F4AB">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层流净化空调维保服务项目</w:t>
            </w:r>
          </w:p>
        </w:tc>
        <w:tc>
          <w:tcPr>
            <w:tcW w:w="850" w:type="dxa"/>
            <w:tcBorders>
              <w:top w:val="outset" w:color="AAAAAA" w:sz="6" w:space="0"/>
              <w:left w:val="outset" w:color="AAAAAA" w:sz="6" w:space="0"/>
              <w:bottom w:val="outset" w:color="AAAAAA" w:sz="6" w:space="0"/>
              <w:right w:val="outset" w:color="AAAAAA" w:sz="6" w:space="0"/>
            </w:tcBorders>
            <w:shd w:val="clear" w:color="auto" w:fill="auto"/>
            <w:vAlign w:val="center"/>
          </w:tcPr>
          <w:p w14:paraId="4A5CB1A0">
            <w:pPr>
              <w:spacing w:line="360" w:lineRule="exact"/>
              <w:jc w:val="center"/>
              <w:rPr>
                <w:rFonts w:ascii="宋体" w:hAnsi="宋体" w:cs="宋体"/>
                <w:szCs w:val="21"/>
              </w:rPr>
            </w:pPr>
            <w:r>
              <w:rPr>
                <w:rFonts w:hint="eastAsia" w:ascii="宋体" w:hAnsi="宋体" w:cs="宋体"/>
                <w:szCs w:val="21"/>
              </w:rPr>
              <w:t>1</w:t>
            </w:r>
          </w:p>
        </w:tc>
        <w:tc>
          <w:tcPr>
            <w:tcW w:w="992" w:type="dxa"/>
            <w:tcBorders>
              <w:top w:val="outset" w:color="AAAAAA" w:sz="6" w:space="0"/>
              <w:left w:val="outset" w:color="AAAAAA" w:sz="6" w:space="0"/>
              <w:bottom w:val="outset" w:color="AAAAAA" w:sz="6" w:space="0"/>
              <w:right w:val="outset" w:color="AAAAAA" w:sz="6" w:space="0"/>
            </w:tcBorders>
            <w:shd w:val="clear" w:color="auto" w:fill="auto"/>
            <w:vAlign w:val="center"/>
          </w:tcPr>
          <w:p w14:paraId="4150A6B3">
            <w:pPr>
              <w:spacing w:line="360" w:lineRule="exact"/>
              <w:jc w:val="center"/>
              <w:rPr>
                <w:rFonts w:ascii="宋体" w:hAnsi="宋体" w:cs="宋体"/>
                <w:szCs w:val="21"/>
              </w:rPr>
            </w:pPr>
            <w:r>
              <w:rPr>
                <w:rFonts w:hint="eastAsia" w:ascii="宋体" w:hAnsi="宋体" w:cs="宋体"/>
                <w:szCs w:val="21"/>
              </w:rPr>
              <w:t>项</w:t>
            </w:r>
          </w:p>
        </w:tc>
        <w:tc>
          <w:tcPr>
            <w:tcW w:w="2552" w:type="dxa"/>
            <w:tcBorders>
              <w:top w:val="outset" w:color="AAAAAA" w:sz="6" w:space="0"/>
              <w:left w:val="outset" w:color="AAAAAA" w:sz="6" w:space="0"/>
              <w:bottom w:val="outset" w:color="AAAAAA" w:sz="6" w:space="0"/>
              <w:right w:val="outset" w:color="AAAAAA" w:sz="6" w:space="0"/>
            </w:tcBorders>
            <w:shd w:val="clear" w:color="auto" w:fill="auto"/>
            <w:vAlign w:val="center"/>
          </w:tcPr>
          <w:p w14:paraId="03FD4F58">
            <w:pPr>
              <w:spacing w:line="360" w:lineRule="exact"/>
              <w:jc w:val="center"/>
              <w:rPr>
                <w:rFonts w:ascii="宋体" w:hAnsi="宋体" w:cs="宋体"/>
                <w:szCs w:val="21"/>
              </w:rPr>
            </w:pPr>
            <w:r>
              <w:rPr>
                <w:rFonts w:hint="eastAsia" w:ascii="宋体" w:hAnsi="宋体" w:cs="宋体"/>
                <w:szCs w:val="21"/>
              </w:rPr>
              <w:t>详见招标文件</w:t>
            </w:r>
          </w:p>
        </w:tc>
        <w:tc>
          <w:tcPr>
            <w:tcW w:w="850" w:type="dxa"/>
            <w:tcBorders>
              <w:top w:val="outset" w:color="AAAAAA" w:sz="6" w:space="0"/>
              <w:left w:val="outset" w:color="AAAAAA" w:sz="6" w:space="0"/>
              <w:bottom w:val="outset" w:color="AAAAAA" w:sz="6" w:space="0"/>
              <w:right w:val="outset" w:color="AAAAAA" w:sz="6" w:space="0"/>
            </w:tcBorders>
            <w:shd w:val="clear" w:color="auto" w:fill="auto"/>
            <w:vAlign w:val="center"/>
          </w:tcPr>
          <w:p w14:paraId="6F49FE07">
            <w:pPr>
              <w:spacing w:line="360" w:lineRule="exact"/>
              <w:jc w:val="center"/>
              <w:rPr>
                <w:rFonts w:ascii="宋体" w:hAnsi="宋体" w:cs="宋体"/>
                <w:szCs w:val="21"/>
              </w:rPr>
            </w:pPr>
            <w:r>
              <w:rPr>
                <w:rFonts w:hint="eastAsia" w:ascii="宋体" w:hAnsi="宋体" w:cs="宋体"/>
                <w:szCs w:val="21"/>
              </w:rPr>
              <w:t>无</w:t>
            </w:r>
          </w:p>
        </w:tc>
      </w:tr>
    </w:tbl>
    <w:p w14:paraId="49FB0E7A">
      <w:pPr>
        <w:pStyle w:val="37"/>
        <w:widowControl w:val="0"/>
        <w:spacing w:before="0" w:beforeAutospacing="0" w:after="0" w:afterAutospacing="0" w:line="360" w:lineRule="exact"/>
        <w:rPr>
          <w:sz w:val="21"/>
          <w:szCs w:val="21"/>
        </w:rPr>
      </w:pPr>
    </w:p>
    <w:p w14:paraId="3A440663">
      <w:pPr>
        <w:pStyle w:val="37"/>
        <w:widowControl w:val="0"/>
        <w:spacing w:before="0" w:beforeAutospacing="0" w:after="0" w:afterAutospacing="0" w:line="360" w:lineRule="exact"/>
        <w:rPr>
          <w:sz w:val="21"/>
          <w:szCs w:val="21"/>
        </w:rPr>
      </w:pPr>
      <w:r>
        <w:rPr>
          <w:rFonts w:hint="eastAsia"/>
          <w:sz w:val="21"/>
          <w:szCs w:val="21"/>
        </w:rPr>
        <w:t>二、申请人的资格要求：</w:t>
      </w:r>
    </w:p>
    <w:p w14:paraId="1D6F6BA4">
      <w:pPr>
        <w:pStyle w:val="37"/>
        <w:widowControl w:val="0"/>
        <w:spacing w:before="0" w:beforeAutospacing="0" w:after="0" w:afterAutospacing="0" w:line="360" w:lineRule="exact"/>
        <w:ind w:firstLine="424" w:firstLineChars="202"/>
        <w:rPr>
          <w:sz w:val="21"/>
          <w:szCs w:val="21"/>
        </w:rPr>
      </w:pPr>
      <w:r>
        <w:rPr>
          <w:rFonts w:hint="eastAsia"/>
          <w:sz w:val="21"/>
          <w:szCs w:val="21"/>
        </w:rPr>
        <w:t>1.满足《中华人民共和国政府采购法》第二十二条规定</w:t>
      </w:r>
      <w:r>
        <w:rPr>
          <w:rFonts w:hint="eastAsia"/>
          <w:snapToGrid w:val="0"/>
          <w:sz w:val="21"/>
          <w:szCs w:val="21"/>
        </w:rPr>
        <w:t>（须提供具有独立承担民事责任能力的法人或其他组织或个体工商户的营业执照或法人证书等证明材料扫描件以及《</w:t>
      </w:r>
      <w:r>
        <w:rPr>
          <w:rFonts w:hint="eastAsia"/>
          <w:sz w:val="21"/>
          <w:szCs w:val="21"/>
        </w:rPr>
        <w:t>政府采购投标及履约承诺函</w:t>
      </w:r>
      <w:r>
        <w:rPr>
          <w:rFonts w:hint="eastAsia"/>
          <w:snapToGrid w:val="0"/>
          <w:sz w:val="21"/>
          <w:szCs w:val="21"/>
        </w:rPr>
        <w:t>》）。如果是分支机构参与投标，还须同时提供其具有独立法人资格的上级主体出具的有效授权书及上级主体的营业执照或法人证书等证明材料扫描件；本项目不接受总公司与分支机构同时参与投标，也不接受同一总公司有两个或以上分支机构参与投标，如出现以上情形，该两家或以上投标人均按无效投标处理</w:t>
      </w:r>
      <w:r>
        <w:rPr>
          <w:rFonts w:hint="eastAsia"/>
          <w:sz w:val="21"/>
          <w:szCs w:val="21"/>
        </w:rPr>
        <w:t xml:space="preserve">。 </w:t>
      </w:r>
    </w:p>
    <w:p w14:paraId="3BD9D0EF">
      <w:pPr>
        <w:pStyle w:val="37"/>
        <w:widowControl w:val="0"/>
        <w:spacing w:before="0" w:beforeAutospacing="0" w:after="0" w:afterAutospacing="0" w:line="360" w:lineRule="exact"/>
        <w:ind w:firstLine="424" w:firstLineChars="202"/>
        <w:rPr>
          <w:sz w:val="21"/>
          <w:szCs w:val="21"/>
        </w:rPr>
      </w:pPr>
      <w:r>
        <w:rPr>
          <w:rFonts w:hint="eastAsia"/>
          <w:sz w:val="21"/>
          <w:szCs w:val="21"/>
        </w:rPr>
        <w:t>2.落实政府采购政策需满足的资格要求：</w:t>
      </w:r>
      <w:r>
        <w:rPr>
          <w:rFonts w:hint="eastAsia" w:ascii="宋体" w:hAnsi="宋体" w:eastAsia="宋体" w:cs="宋体"/>
          <w:snapToGrid w:val="0"/>
          <w:color w:val="auto"/>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r>
        <w:rPr>
          <w:rFonts w:hint="eastAsia"/>
          <w:sz w:val="21"/>
          <w:szCs w:val="21"/>
        </w:rPr>
        <w:t xml:space="preserve"> </w:t>
      </w:r>
    </w:p>
    <w:p w14:paraId="783E4239">
      <w:pPr>
        <w:pStyle w:val="37"/>
        <w:widowControl w:val="0"/>
        <w:spacing w:before="0" w:beforeAutospacing="0" w:after="0" w:afterAutospacing="0" w:line="360" w:lineRule="exact"/>
        <w:ind w:firstLine="424" w:firstLineChars="202"/>
        <w:rPr>
          <w:sz w:val="21"/>
          <w:szCs w:val="21"/>
        </w:rPr>
      </w:pPr>
      <w:r>
        <w:rPr>
          <w:rFonts w:hint="eastAsia"/>
          <w:sz w:val="21"/>
          <w:szCs w:val="21"/>
        </w:rPr>
        <w:t>3.本项目的特定资格要求：</w:t>
      </w:r>
    </w:p>
    <w:p w14:paraId="783E8EA8">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w:t>
      </w:r>
    </w:p>
    <w:p w14:paraId="18D4BA89">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w:t>
      </w:r>
    </w:p>
    <w:p w14:paraId="755D6B49">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（3）单位负责人为同一人或者存在直接控股、管理关系的不同供应商，不得参加同一合同项下的政府采购活动（须按本项目投标文件格式要求提供《政府采购投标及履约承诺函》）；</w:t>
      </w:r>
    </w:p>
    <w:p w14:paraId="7619A3B3">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4）除单一来源采购项目外，为采购项目提供整体设计、规范编制或者项目管理、监理、检测等服务的供应商，不得再参加该采购项目的其他采购活动（须按本项目投标文件格式要求提供《政府采购投标及履约承诺函》）；</w:t>
      </w:r>
    </w:p>
    <w:p w14:paraId="07E55A97">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5）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w:t>
      </w:r>
    </w:p>
    <w:p w14:paraId="2410A02A">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要求提供《供应商基本情况表》相关信息，《供应商基本情况表》相关信息为不公开内容）；</w:t>
      </w:r>
    </w:p>
    <w:p w14:paraId="1786286B">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639CC328">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（8）投标人具有主管部门核发的有效期内的建筑机电安装工程专业承包贰级（及以上）资质（提供资质证书扫描件，原件备查）；</w:t>
      </w:r>
    </w:p>
    <w:p w14:paraId="645B75A5">
      <w:pPr>
        <w:pStyle w:val="216"/>
        <w:widowControl w:val="0"/>
        <w:adjustRightInd w:val="0"/>
        <w:snapToGrid w:val="0"/>
        <w:spacing w:before="0" w:beforeAutospacing="0" w:after="0" w:afterAutospacing="0" w:line="360" w:lineRule="exact"/>
        <w:ind w:firstLine="424" w:firstLineChars="202"/>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（9）本项目不接受联合体投标，不允许非法分包或转包。</w:t>
      </w:r>
    </w:p>
    <w:p w14:paraId="00D4E525">
      <w:pPr>
        <w:pStyle w:val="37"/>
        <w:widowControl w:val="0"/>
        <w:spacing w:before="0" w:beforeAutospacing="0" w:after="0" w:afterAutospacing="0" w:line="360" w:lineRule="exact"/>
        <w:rPr>
          <w:sz w:val="21"/>
          <w:szCs w:val="21"/>
        </w:rPr>
      </w:pPr>
    </w:p>
    <w:p w14:paraId="5315CB70">
      <w:pPr>
        <w:pStyle w:val="37"/>
        <w:widowControl w:val="0"/>
        <w:spacing w:before="0" w:beforeAutospacing="0" w:after="0" w:afterAutospacing="0" w:line="360" w:lineRule="exact"/>
        <w:rPr>
          <w:sz w:val="21"/>
          <w:szCs w:val="21"/>
        </w:rPr>
      </w:pPr>
      <w:r>
        <w:rPr>
          <w:rFonts w:hint="eastAsia"/>
          <w:sz w:val="21"/>
          <w:szCs w:val="21"/>
        </w:rPr>
        <w:t>三、获取招标文件</w:t>
      </w:r>
    </w:p>
    <w:p w14:paraId="56070079">
      <w:pPr>
        <w:pStyle w:val="37"/>
        <w:widowControl w:val="0"/>
        <w:spacing w:before="0" w:beforeAutospacing="0" w:after="0" w:afterAutospacing="0" w:line="360" w:lineRule="exact"/>
        <w:ind w:firstLine="420" w:firstLineChars="200"/>
        <w:rPr>
          <w:sz w:val="21"/>
          <w:szCs w:val="21"/>
        </w:rPr>
      </w:pPr>
      <w:r>
        <w:rPr>
          <w:rFonts w:hint="eastAsia"/>
          <w:sz w:val="21"/>
          <w:szCs w:val="21"/>
        </w:rPr>
        <w:t>时间：</w:t>
      </w:r>
      <w:r>
        <w:rPr>
          <w:rFonts w:hint="eastAsia"/>
          <w:b/>
          <w:sz w:val="21"/>
          <w:szCs w:val="21"/>
          <w:u w:val="single"/>
        </w:rPr>
        <w:t>自本公告发布之日起至2025年</w:t>
      </w:r>
      <w:r>
        <w:rPr>
          <w:rFonts w:hint="eastAsia"/>
          <w:b/>
          <w:sz w:val="21"/>
          <w:szCs w:val="21"/>
          <w:u w:val="single"/>
          <w:lang w:val="en-US" w:eastAsia="zh-CN"/>
        </w:rPr>
        <w:t>09</w:t>
      </w:r>
      <w:r>
        <w:rPr>
          <w:rFonts w:hint="eastAsia"/>
          <w:b/>
          <w:sz w:val="21"/>
          <w:szCs w:val="21"/>
          <w:u w:val="single"/>
        </w:rPr>
        <w:t>月</w:t>
      </w:r>
      <w:r>
        <w:rPr>
          <w:rFonts w:hint="eastAsia"/>
          <w:b/>
          <w:sz w:val="21"/>
          <w:szCs w:val="21"/>
          <w:u w:val="single"/>
          <w:lang w:val="en-US" w:eastAsia="zh-CN"/>
        </w:rPr>
        <w:t>29</w:t>
      </w:r>
      <w:r>
        <w:rPr>
          <w:rFonts w:hint="eastAsia"/>
          <w:b/>
          <w:sz w:val="21"/>
          <w:szCs w:val="21"/>
          <w:u w:val="single"/>
        </w:rPr>
        <w:t>日</w:t>
      </w:r>
      <w:r>
        <w:rPr>
          <w:rFonts w:hint="eastAsia"/>
          <w:sz w:val="21"/>
          <w:szCs w:val="21"/>
        </w:rPr>
        <w:t xml:space="preserve">。 </w:t>
      </w:r>
    </w:p>
    <w:p w14:paraId="41952018">
      <w:pPr>
        <w:pStyle w:val="37"/>
        <w:widowControl w:val="0"/>
        <w:spacing w:before="0" w:beforeAutospacing="0" w:after="0" w:afterAutospacing="0" w:line="360" w:lineRule="exact"/>
        <w:ind w:firstLine="420" w:firstLineChars="200"/>
        <w:rPr>
          <w:sz w:val="21"/>
          <w:szCs w:val="21"/>
        </w:rPr>
      </w:pPr>
    </w:p>
    <w:p w14:paraId="633FB912">
      <w:pPr>
        <w:pStyle w:val="37"/>
        <w:widowControl w:val="0"/>
        <w:spacing w:before="0" w:beforeAutospacing="0" w:after="0" w:afterAutospacing="0" w:line="360" w:lineRule="exact"/>
        <w:rPr>
          <w:sz w:val="21"/>
          <w:szCs w:val="21"/>
        </w:rPr>
      </w:pPr>
      <w:r>
        <w:rPr>
          <w:rFonts w:hint="eastAsia"/>
          <w:sz w:val="21"/>
          <w:szCs w:val="21"/>
        </w:rPr>
        <w:t>四、提交投标文件截止时间、开标时间和地点</w:t>
      </w:r>
    </w:p>
    <w:p w14:paraId="13D4C55A">
      <w:pPr>
        <w:pStyle w:val="37"/>
        <w:widowControl w:val="0"/>
        <w:spacing w:before="0" w:beforeAutospacing="0" w:after="0" w:afterAutospacing="0" w:line="360" w:lineRule="exact"/>
        <w:ind w:firstLine="424" w:firstLineChars="202"/>
        <w:rPr>
          <w:sz w:val="21"/>
          <w:szCs w:val="21"/>
        </w:rPr>
      </w:pPr>
      <w:r>
        <w:rPr>
          <w:rFonts w:hint="eastAsia"/>
          <w:sz w:val="21"/>
          <w:szCs w:val="21"/>
        </w:rPr>
        <w:t>1.投标截止时间：所有投标文件应于</w:t>
      </w:r>
      <w:r>
        <w:rPr>
          <w:rFonts w:hint="eastAsia"/>
          <w:b/>
          <w:sz w:val="21"/>
          <w:szCs w:val="21"/>
          <w:u w:val="single"/>
        </w:rPr>
        <w:t>2025年</w:t>
      </w:r>
      <w:r>
        <w:rPr>
          <w:rFonts w:hint="eastAsia"/>
          <w:b/>
          <w:sz w:val="21"/>
          <w:szCs w:val="21"/>
          <w:u w:val="single"/>
          <w:lang w:val="en-US" w:eastAsia="zh-CN"/>
        </w:rPr>
        <w:t>09</w:t>
      </w:r>
      <w:r>
        <w:rPr>
          <w:rFonts w:hint="eastAsia"/>
          <w:b/>
          <w:sz w:val="21"/>
          <w:szCs w:val="21"/>
          <w:u w:val="single"/>
        </w:rPr>
        <w:t>月</w:t>
      </w:r>
      <w:r>
        <w:rPr>
          <w:rFonts w:hint="eastAsia"/>
          <w:b/>
          <w:sz w:val="21"/>
          <w:szCs w:val="21"/>
          <w:u w:val="single"/>
          <w:lang w:val="en-US" w:eastAsia="zh-CN"/>
        </w:rPr>
        <w:t>29</w:t>
      </w:r>
      <w:r>
        <w:rPr>
          <w:rFonts w:hint="eastAsia"/>
          <w:b/>
          <w:sz w:val="21"/>
          <w:szCs w:val="21"/>
          <w:u w:val="single"/>
        </w:rPr>
        <w:t>日</w:t>
      </w:r>
      <w:r>
        <w:rPr>
          <w:rFonts w:hint="eastAsia"/>
          <w:b/>
          <w:sz w:val="21"/>
          <w:szCs w:val="21"/>
          <w:u w:val="single"/>
          <w:lang w:val="en-US" w:eastAsia="zh-CN"/>
        </w:rPr>
        <w:t>09</w:t>
      </w:r>
      <w:r>
        <w:rPr>
          <w:rFonts w:hint="eastAsia"/>
          <w:b/>
          <w:sz w:val="21"/>
          <w:szCs w:val="21"/>
          <w:u w:val="single"/>
        </w:rPr>
        <w:t>:00（北京时间）</w:t>
      </w:r>
      <w:r>
        <w:rPr>
          <w:rFonts w:hint="eastAsia"/>
          <w:sz w:val="21"/>
          <w:szCs w:val="21"/>
        </w:rPr>
        <w:t>之前上传到深圳政府采购智慧平台（http://zfcg.szggzy.com:8081/）。</w:t>
      </w:r>
    </w:p>
    <w:p w14:paraId="457E9A70">
      <w:pPr>
        <w:pStyle w:val="37"/>
        <w:widowControl w:val="0"/>
        <w:spacing w:before="0" w:beforeAutospacing="0" w:after="0" w:afterAutospacing="0" w:line="360" w:lineRule="exact"/>
        <w:ind w:firstLine="424" w:firstLineChars="202"/>
        <w:rPr>
          <w:sz w:val="21"/>
          <w:szCs w:val="21"/>
        </w:rPr>
      </w:pPr>
      <w:r>
        <w:rPr>
          <w:rFonts w:hint="eastAsia"/>
          <w:sz w:val="21"/>
          <w:szCs w:val="21"/>
        </w:rPr>
        <w:t>2.开标时间和地点：定于</w:t>
      </w:r>
      <w:r>
        <w:rPr>
          <w:rFonts w:hint="eastAsia"/>
          <w:b/>
          <w:sz w:val="21"/>
          <w:szCs w:val="21"/>
          <w:u w:val="single"/>
        </w:rPr>
        <w:t>2025年</w:t>
      </w:r>
      <w:r>
        <w:rPr>
          <w:rFonts w:hint="eastAsia"/>
          <w:b/>
          <w:sz w:val="21"/>
          <w:szCs w:val="21"/>
          <w:u w:val="single"/>
          <w:lang w:val="en-US" w:eastAsia="zh-CN"/>
        </w:rPr>
        <w:t>09</w:t>
      </w:r>
      <w:r>
        <w:rPr>
          <w:rFonts w:hint="eastAsia"/>
          <w:b/>
          <w:sz w:val="21"/>
          <w:szCs w:val="21"/>
          <w:u w:val="single"/>
        </w:rPr>
        <w:t>月</w:t>
      </w:r>
      <w:r>
        <w:rPr>
          <w:rFonts w:hint="eastAsia"/>
          <w:b/>
          <w:sz w:val="21"/>
          <w:szCs w:val="21"/>
          <w:u w:val="single"/>
          <w:lang w:val="en-US" w:eastAsia="zh-CN"/>
        </w:rPr>
        <w:t>29</w:t>
      </w:r>
      <w:r>
        <w:rPr>
          <w:rFonts w:hint="eastAsia"/>
          <w:b/>
          <w:sz w:val="21"/>
          <w:szCs w:val="21"/>
          <w:u w:val="single"/>
        </w:rPr>
        <w:t>日</w:t>
      </w:r>
      <w:r>
        <w:rPr>
          <w:rFonts w:hint="eastAsia"/>
          <w:b/>
          <w:sz w:val="21"/>
          <w:szCs w:val="21"/>
          <w:u w:val="single"/>
          <w:lang w:val="en-US" w:eastAsia="zh-CN"/>
        </w:rPr>
        <w:t>09</w:t>
      </w:r>
      <w:r>
        <w:rPr>
          <w:rFonts w:hint="eastAsia"/>
          <w:b/>
          <w:sz w:val="21"/>
          <w:szCs w:val="21"/>
          <w:u w:val="single"/>
        </w:rPr>
        <w:t>:00（北京时间）</w:t>
      </w:r>
      <w:r>
        <w:rPr>
          <w:rFonts w:hint="eastAsia"/>
          <w:sz w:val="21"/>
          <w:szCs w:val="21"/>
        </w:rPr>
        <w:t>，在深圳市中正招标有限公司公开开标。</w:t>
      </w:r>
    </w:p>
    <w:p w14:paraId="548DE0FE">
      <w:pPr>
        <w:pStyle w:val="37"/>
        <w:widowControl w:val="0"/>
        <w:spacing w:before="0" w:beforeAutospacing="0" w:after="0" w:afterAutospacing="0" w:line="360" w:lineRule="exact"/>
        <w:ind w:firstLine="426" w:firstLineChars="202"/>
        <w:rPr>
          <w:b/>
          <w:sz w:val="21"/>
          <w:szCs w:val="21"/>
        </w:rPr>
      </w:pPr>
      <w:r>
        <w:rPr>
          <w:rFonts w:hint="eastAsia"/>
          <w:b/>
          <w:sz w:val="21"/>
          <w:szCs w:val="21"/>
        </w:rPr>
        <w:t>3.在线解密：投标人须在</w:t>
      </w:r>
      <w:r>
        <w:rPr>
          <w:rFonts w:hint="eastAsia"/>
          <w:b/>
          <w:sz w:val="21"/>
          <w:szCs w:val="21"/>
          <w:u w:val="single"/>
        </w:rPr>
        <w:t>2025年</w:t>
      </w:r>
      <w:r>
        <w:rPr>
          <w:rFonts w:hint="eastAsia"/>
          <w:b/>
          <w:sz w:val="21"/>
          <w:szCs w:val="21"/>
          <w:u w:val="single"/>
          <w:lang w:val="en-US" w:eastAsia="zh-CN"/>
        </w:rPr>
        <w:t>09</w:t>
      </w:r>
      <w:r>
        <w:rPr>
          <w:rFonts w:hint="eastAsia"/>
          <w:b/>
          <w:sz w:val="21"/>
          <w:szCs w:val="21"/>
          <w:u w:val="single"/>
        </w:rPr>
        <w:t>月</w:t>
      </w:r>
      <w:r>
        <w:rPr>
          <w:rFonts w:hint="eastAsia"/>
          <w:b/>
          <w:sz w:val="21"/>
          <w:szCs w:val="21"/>
          <w:u w:val="single"/>
          <w:lang w:val="en-US" w:eastAsia="zh-CN"/>
        </w:rPr>
        <w:t>29</w:t>
      </w:r>
      <w:r>
        <w:rPr>
          <w:rFonts w:hint="eastAsia"/>
          <w:b/>
          <w:sz w:val="21"/>
          <w:szCs w:val="21"/>
          <w:u w:val="single"/>
        </w:rPr>
        <w:t>日</w:t>
      </w:r>
      <w:r>
        <w:rPr>
          <w:rFonts w:hint="eastAsia"/>
          <w:b/>
          <w:sz w:val="21"/>
          <w:szCs w:val="21"/>
          <w:u w:val="single"/>
          <w:lang w:val="en-US" w:eastAsia="zh-CN"/>
        </w:rPr>
        <w:t>09</w:t>
      </w:r>
      <w:r>
        <w:rPr>
          <w:rFonts w:hint="eastAsia"/>
          <w:b/>
          <w:sz w:val="21"/>
          <w:szCs w:val="21"/>
          <w:u w:val="single"/>
        </w:rPr>
        <w:t>:00-</w:t>
      </w:r>
      <w:r>
        <w:rPr>
          <w:rFonts w:hint="eastAsia"/>
          <w:b/>
          <w:sz w:val="21"/>
          <w:szCs w:val="21"/>
          <w:u w:val="single"/>
          <w:lang w:val="en-US" w:eastAsia="zh-CN"/>
        </w:rPr>
        <w:t>09</w:t>
      </w:r>
      <w:r>
        <w:rPr>
          <w:rFonts w:hint="eastAsia"/>
          <w:b/>
          <w:sz w:val="21"/>
          <w:szCs w:val="21"/>
          <w:u w:val="single"/>
        </w:rPr>
        <w:t>:</w:t>
      </w:r>
      <w:r>
        <w:rPr>
          <w:rFonts w:hint="eastAsia"/>
          <w:b/>
          <w:sz w:val="21"/>
          <w:szCs w:val="21"/>
          <w:u w:val="single"/>
          <w:lang w:val="en-US" w:eastAsia="zh-CN"/>
        </w:rPr>
        <w:t>30</w:t>
      </w:r>
      <w:r>
        <w:rPr>
          <w:rFonts w:hint="eastAsia"/>
          <w:b/>
          <w:sz w:val="21"/>
          <w:szCs w:val="21"/>
          <w:u w:val="single"/>
        </w:rPr>
        <w:t>（北京时间）</w:t>
      </w:r>
      <w:r>
        <w:rPr>
          <w:rFonts w:hint="eastAsia"/>
          <w:b/>
          <w:sz w:val="21"/>
          <w:szCs w:val="21"/>
        </w:rPr>
        <w:t>期间进行解密，逾期未解密的作无效处理。</w:t>
      </w:r>
    </w:p>
    <w:p w14:paraId="1C672852">
      <w:pPr>
        <w:pStyle w:val="37"/>
        <w:widowControl w:val="0"/>
        <w:spacing w:before="0" w:beforeAutospacing="0" w:after="0" w:afterAutospacing="0" w:line="360" w:lineRule="exact"/>
        <w:ind w:left="420" w:leftChars="200"/>
        <w:rPr>
          <w:sz w:val="21"/>
          <w:szCs w:val="21"/>
        </w:rPr>
      </w:pPr>
    </w:p>
    <w:p w14:paraId="7C1ABF87">
      <w:pPr>
        <w:pStyle w:val="37"/>
        <w:widowControl w:val="0"/>
        <w:spacing w:before="0" w:beforeAutospacing="0" w:after="0" w:afterAutospacing="0" w:line="360" w:lineRule="exact"/>
        <w:rPr>
          <w:sz w:val="21"/>
          <w:szCs w:val="21"/>
        </w:rPr>
      </w:pPr>
      <w:r>
        <w:rPr>
          <w:rFonts w:hint="eastAsia"/>
          <w:sz w:val="21"/>
          <w:szCs w:val="21"/>
        </w:rPr>
        <w:t>五、公告期限</w:t>
      </w:r>
    </w:p>
    <w:p w14:paraId="690DC30B">
      <w:pPr>
        <w:pStyle w:val="37"/>
        <w:widowControl w:val="0"/>
        <w:spacing w:before="0" w:beforeAutospacing="0" w:after="0" w:afterAutospacing="0" w:line="360" w:lineRule="exact"/>
        <w:ind w:firstLine="420" w:firstLineChars="200"/>
        <w:rPr>
          <w:sz w:val="21"/>
          <w:szCs w:val="21"/>
        </w:rPr>
      </w:pPr>
      <w:r>
        <w:rPr>
          <w:rFonts w:hint="eastAsia"/>
          <w:sz w:val="21"/>
          <w:szCs w:val="21"/>
        </w:rPr>
        <w:t>自本公告发布之日起5个工作日。</w:t>
      </w:r>
    </w:p>
    <w:p w14:paraId="2542FA72">
      <w:pPr>
        <w:pStyle w:val="37"/>
        <w:widowControl w:val="0"/>
        <w:spacing w:before="0" w:beforeAutospacing="0" w:after="0" w:afterAutospacing="0" w:line="360" w:lineRule="exact"/>
        <w:ind w:firstLine="420" w:firstLineChars="200"/>
        <w:rPr>
          <w:sz w:val="21"/>
          <w:szCs w:val="21"/>
        </w:rPr>
      </w:pPr>
    </w:p>
    <w:p w14:paraId="244B19B2">
      <w:pPr>
        <w:pStyle w:val="37"/>
        <w:widowControl w:val="0"/>
        <w:spacing w:before="0" w:beforeAutospacing="0" w:after="0" w:afterAutospacing="0" w:line="360" w:lineRule="exact"/>
        <w:rPr>
          <w:sz w:val="21"/>
          <w:szCs w:val="21"/>
        </w:rPr>
      </w:pPr>
      <w:r>
        <w:rPr>
          <w:rFonts w:hint="eastAsia"/>
          <w:sz w:val="21"/>
          <w:szCs w:val="21"/>
        </w:rPr>
        <w:t>六、其他补充事宜</w:t>
      </w:r>
    </w:p>
    <w:p w14:paraId="7F387A1C">
      <w:pPr>
        <w:pStyle w:val="37"/>
        <w:widowControl w:val="0"/>
        <w:spacing w:before="0" w:beforeAutospacing="0" w:after="0" w:afterAutospacing="0" w:line="360" w:lineRule="exact"/>
        <w:ind w:firstLine="424" w:firstLineChars="202"/>
        <w:rPr>
          <w:sz w:val="21"/>
          <w:szCs w:val="21"/>
        </w:rPr>
      </w:pPr>
      <w:r>
        <w:rPr>
          <w:rFonts w:hint="eastAsia"/>
          <w:sz w:val="21"/>
          <w:szCs w:val="21"/>
        </w:rPr>
        <w:t>1.本项目实行网上投标，采用电子投标文件。</w:t>
      </w:r>
    </w:p>
    <w:p w14:paraId="6905DE94">
      <w:pPr>
        <w:pStyle w:val="37"/>
        <w:widowControl w:val="0"/>
        <w:spacing w:before="0" w:beforeAutospacing="0" w:after="0" w:afterAutospacing="0" w:line="360" w:lineRule="exact"/>
        <w:ind w:firstLine="424" w:firstLineChars="202"/>
        <w:rPr>
          <w:sz w:val="21"/>
          <w:szCs w:val="21"/>
        </w:rPr>
      </w:pPr>
    </w:p>
    <w:p w14:paraId="44CD79CD">
      <w:pPr>
        <w:pStyle w:val="37"/>
        <w:widowControl w:val="0"/>
        <w:spacing w:before="0" w:beforeAutospacing="0" w:after="0" w:afterAutospacing="0" w:line="360" w:lineRule="exact"/>
        <w:rPr>
          <w:sz w:val="21"/>
          <w:szCs w:val="21"/>
        </w:rPr>
      </w:pPr>
      <w:r>
        <w:rPr>
          <w:rFonts w:hint="eastAsia"/>
          <w:sz w:val="21"/>
          <w:szCs w:val="21"/>
        </w:rPr>
        <w:t>七、对本次招标提出询问，请按以下方式联系。</w:t>
      </w:r>
    </w:p>
    <w:p w14:paraId="0B7555FC">
      <w:pPr>
        <w:pStyle w:val="37"/>
        <w:widowControl w:val="0"/>
        <w:spacing w:before="0" w:beforeAutospacing="0" w:after="0" w:afterAutospacing="0" w:line="360" w:lineRule="exact"/>
        <w:ind w:firstLine="424" w:firstLineChars="202"/>
        <w:rPr>
          <w:sz w:val="21"/>
          <w:szCs w:val="21"/>
        </w:rPr>
      </w:pPr>
      <w:r>
        <w:rPr>
          <w:rFonts w:hint="eastAsia"/>
          <w:sz w:val="21"/>
          <w:szCs w:val="21"/>
        </w:rPr>
        <w:t xml:space="preserve">1.采购人信息 </w:t>
      </w:r>
    </w:p>
    <w:p w14:paraId="025F701F">
      <w:pPr>
        <w:pStyle w:val="216"/>
        <w:widowControl w:val="0"/>
        <w:adjustRightInd w:val="0"/>
        <w:snapToGrid w:val="0"/>
        <w:spacing w:before="0" w:beforeAutospacing="0" w:after="0" w:afterAutospacing="0" w:line="360" w:lineRule="exact"/>
        <w:ind w:left="359" w:leftChars="171" w:firstLine="65" w:firstLineChars="31"/>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名称：深圳市儿童医院</w:t>
      </w:r>
    </w:p>
    <w:p w14:paraId="09BE18A2">
      <w:pPr>
        <w:pStyle w:val="216"/>
        <w:widowControl w:val="0"/>
        <w:adjustRightInd w:val="0"/>
        <w:snapToGrid w:val="0"/>
        <w:spacing w:before="0" w:beforeAutospacing="0" w:after="0" w:afterAutospacing="0" w:line="360" w:lineRule="exact"/>
        <w:ind w:left="359" w:leftChars="171" w:firstLine="65" w:firstLineChars="31"/>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地址：深圳市福田区益田路7019号</w:t>
      </w:r>
    </w:p>
    <w:p w14:paraId="540ED9C6">
      <w:pPr>
        <w:pStyle w:val="216"/>
        <w:widowControl w:val="0"/>
        <w:adjustRightInd w:val="0"/>
        <w:snapToGrid w:val="0"/>
        <w:spacing w:before="0" w:beforeAutospacing="0" w:after="0" w:afterAutospacing="0" w:line="360" w:lineRule="exact"/>
        <w:ind w:left="359" w:leftChars="171" w:firstLine="65" w:firstLineChars="31"/>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联系方式：0755-83009887</w:t>
      </w:r>
    </w:p>
    <w:p w14:paraId="1CB50C87">
      <w:pPr>
        <w:pStyle w:val="37"/>
        <w:widowControl w:val="0"/>
        <w:spacing w:before="0" w:beforeAutospacing="0" w:after="0" w:afterAutospacing="0" w:line="360" w:lineRule="exact"/>
        <w:ind w:firstLine="424" w:firstLineChars="202"/>
        <w:rPr>
          <w:sz w:val="21"/>
          <w:szCs w:val="21"/>
        </w:rPr>
      </w:pPr>
      <w:r>
        <w:rPr>
          <w:rFonts w:hint="eastAsia"/>
          <w:sz w:val="21"/>
          <w:szCs w:val="21"/>
        </w:rPr>
        <w:t xml:space="preserve">2.采购代理机构信息 </w:t>
      </w:r>
    </w:p>
    <w:p w14:paraId="182020DE">
      <w:pPr>
        <w:pStyle w:val="37"/>
        <w:widowControl w:val="0"/>
        <w:spacing w:before="0" w:beforeAutospacing="0" w:after="0" w:afterAutospacing="0" w:line="360" w:lineRule="exact"/>
        <w:ind w:firstLine="424" w:firstLineChars="202"/>
        <w:rPr>
          <w:sz w:val="21"/>
          <w:szCs w:val="21"/>
        </w:rPr>
      </w:pPr>
      <w:r>
        <w:rPr>
          <w:rFonts w:hint="eastAsia"/>
          <w:sz w:val="21"/>
          <w:szCs w:val="21"/>
        </w:rPr>
        <w:t xml:space="preserve">名称：深圳市中正招标有限公司 </w:t>
      </w:r>
    </w:p>
    <w:p w14:paraId="1C24E12D">
      <w:pPr>
        <w:pStyle w:val="37"/>
        <w:widowControl w:val="0"/>
        <w:spacing w:before="0" w:beforeAutospacing="0" w:after="0" w:afterAutospacing="0" w:line="360" w:lineRule="exact"/>
        <w:ind w:firstLine="424" w:firstLineChars="202"/>
        <w:rPr>
          <w:sz w:val="21"/>
          <w:szCs w:val="21"/>
        </w:rPr>
      </w:pPr>
      <w:r>
        <w:rPr>
          <w:rFonts w:hint="eastAsia"/>
          <w:sz w:val="21"/>
          <w:szCs w:val="21"/>
        </w:rPr>
        <w:t>地址：深圳市福田区民田路171号新华保险大厦903</w:t>
      </w:r>
    </w:p>
    <w:p w14:paraId="2C7D12E3">
      <w:pPr>
        <w:pStyle w:val="37"/>
        <w:widowControl w:val="0"/>
        <w:spacing w:before="0" w:beforeAutospacing="0" w:after="0" w:afterAutospacing="0" w:line="360" w:lineRule="exact"/>
        <w:ind w:firstLine="424" w:firstLineChars="202"/>
        <w:rPr>
          <w:sz w:val="21"/>
          <w:szCs w:val="21"/>
        </w:rPr>
      </w:pPr>
      <w:r>
        <w:rPr>
          <w:rFonts w:hint="eastAsia"/>
          <w:sz w:val="21"/>
          <w:szCs w:val="21"/>
        </w:rPr>
        <w:t>联系方式：0755-83026699</w:t>
      </w:r>
    </w:p>
    <w:p w14:paraId="2D65B9C6">
      <w:pPr>
        <w:pStyle w:val="37"/>
        <w:widowControl w:val="0"/>
        <w:spacing w:before="0" w:beforeAutospacing="0" w:after="0" w:afterAutospacing="0" w:line="360" w:lineRule="exact"/>
        <w:ind w:firstLine="424" w:firstLineChars="202"/>
        <w:rPr>
          <w:sz w:val="21"/>
          <w:szCs w:val="21"/>
        </w:rPr>
      </w:pPr>
      <w:r>
        <w:rPr>
          <w:rFonts w:hint="eastAsia"/>
          <w:sz w:val="21"/>
          <w:szCs w:val="21"/>
        </w:rPr>
        <w:t xml:space="preserve">3.项目联系方式 </w:t>
      </w:r>
    </w:p>
    <w:p w14:paraId="150CD0D5">
      <w:pPr>
        <w:pStyle w:val="37"/>
        <w:widowControl w:val="0"/>
        <w:spacing w:before="0" w:beforeAutospacing="0" w:after="0" w:afterAutospacing="0" w:line="360" w:lineRule="exact"/>
        <w:ind w:firstLine="424" w:firstLineChars="202"/>
        <w:rPr>
          <w:sz w:val="21"/>
          <w:szCs w:val="21"/>
        </w:rPr>
      </w:pPr>
      <w:r>
        <w:rPr>
          <w:rFonts w:hint="eastAsia"/>
          <w:sz w:val="21"/>
          <w:szCs w:val="21"/>
        </w:rPr>
        <w:t xml:space="preserve">项目联系人：李先生 </w:t>
      </w:r>
    </w:p>
    <w:p w14:paraId="510F3ABB">
      <w:pPr>
        <w:pStyle w:val="37"/>
        <w:widowControl w:val="0"/>
        <w:spacing w:before="0" w:beforeAutospacing="0" w:after="0" w:afterAutospacing="0" w:line="360" w:lineRule="exact"/>
        <w:ind w:firstLine="424" w:firstLineChars="202"/>
        <w:rPr>
          <w:sz w:val="21"/>
          <w:szCs w:val="21"/>
        </w:rPr>
      </w:pPr>
      <w:r>
        <w:rPr>
          <w:rFonts w:hint="eastAsia"/>
          <w:sz w:val="21"/>
          <w:szCs w:val="21"/>
        </w:rPr>
        <w:t>电话：0755-83026699</w:t>
      </w:r>
    </w:p>
    <w:p w14:paraId="0D2DACA2">
      <w:pPr>
        <w:pStyle w:val="37"/>
        <w:widowControl w:val="0"/>
        <w:spacing w:before="0" w:beforeAutospacing="0" w:after="0" w:afterAutospacing="0" w:line="360" w:lineRule="exact"/>
        <w:ind w:firstLine="424" w:firstLineChars="202"/>
        <w:rPr>
          <w:sz w:val="21"/>
          <w:szCs w:val="21"/>
        </w:rPr>
      </w:pPr>
    </w:p>
    <w:p w14:paraId="6987BA9E">
      <w:pPr>
        <w:pStyle w:val="37"/>
        <w:widowControl w:val="0"/>
        <w:spacing w:before="0" w:beforeAutospacing="0" w:after="0" w:afterAutospacing="0" w:line="360" w:lineRule="exact"/>
        <w:ind w:firstLine="422" w:firstLineChars="175"/>
      </w:pPr>
      <w:r>
        <w:rPr>
          <w:rFonts w:hint="eastAsia"/>
          <w:b/>
        </w:rPr>
        <w:t>完整公告内容详见：深圳公共资源交易网（https://www.szggzy.com）</w:t>
      </w:r>
    </w:p>
    <w:p w14:paraId="1AF25C8C">
      <w:pPr>
        <w:spacing w:line="400" w:lineRule="exact"/>
        <w:jc w:val="right"/>
        <w:rPr>
          <w:rFonts w:ascii="宋体" w:hAnsi="宋体"/>
          <w:szCs w:val="21"/>
        </w:rPr>
      </w:pPr>
    </w:p>
    <w:p w14:paraId="03EFAC55">
      <w:pPr>
        <w:rPr>
          <w:rFonts w:ascii="宋体" w:hAnsi="宋体"/>
          <w:b/>
          <w:bCs/>
          <w:kern w:val="0"/>
          <w:sz w:val="24"/>
          <w:szCs w:val="20"/>
        </w:rPr>
      </w:pPr>
      <w:r>
        <w:rPr>
          <w:rFonts w:hint="eastAsia" w:ascii="宋体" w:hAnsi="宋体"/>
          <w:b/>
          <w:bCs/>
          <w:kern w:val="0"/>
          <w:sz w:val="24"/>
          <w:szCs w:val="20"/>
        </w:rPr>
        <w:br w:type="page"/>
      </w:r>
    </w:p>
    <w:p w14:paraId="0DDAC345">
      <w:pPr>
        <w:keepNext/>
        <w:keepLines/>
        <w:adjustRightInd w:val="0"/>
        <w:spacing w:before="260" w:after="260"/>
        <w:jc w:val="center"/>
        <w:textAlignment w:val="baseline"/>
        <w:outlineLvl w:val="1"/>
        <w:rPr>
          <w:rFonts w:ascii="宋体" w:hAnsi="宋体"/>
          <w:b/>
          <w:bCs/>
          <w:kern w:val="0"/>
          <w:sz w:val="24"/>
          <w:szCs w:val="20"/>
        </w:rPr>
      </w:pPr>
      <w:r>
        <w:rPr>
          <w:rFonts w:hint="eastAsia" w:ascii="宋体" w:hAnsi="宋体"/>
          <w:b/>
          <w:bCs/>
          <w:kern w:val="0"/>
          <w:sz w:val="24"/>
          <w:szCs w:val="20"/>
        </w:rPr>
        <w:t>第二章  招标项目需求</w:t>
      </w:r>
    </w:p>
    <w:p w14:paraId="48A546D3">
      <w:pPr>
        <w:keepNext/>
        <w:keepLines/>
        <w:adjustRightInd w:val="0"/>
        <w:spacing w:before="156" w:beforeLines="50" w:after="156" w:afterLines="50"/>
        <w:jc w:val="center"/>
        <w:textAlignment w:val="baseline"/>
        <w:outlineLvl w:val="1"/>
        <w:rPr>
          <w:rFonts w:ascii="宋体" w:hAnsi="宋体"/>
          <w:b/>
          <w:bCs/>
          <w:kern w:val="0"/>
          <w:sz w:val="28"/>
          <w:szCs w:val="28"/>
        </w:rPr>
      </w:pPr>
      <w:bookmarkStart w:id="3" w:name="_Toc73517639"/>
      <w:bookmarkStart w:id="4" w:name="_Toc73521635"/>
      <w:bookmarkStart w:id="5" w:name="_Toc60631620"/>
      <w:bookmarkStart w:id="6" w:name="_Toc73518117"/>
      <w:bookmarkStart w:id="7" w:name="_Toc73521547"/>
      <w:bookmarkStart w:id="8" w:name="_Toc101074876"/>
      <w:bookmarkStart w:id="9" w:name="_Toc60560625"/>
      <w:bookmarkStart w:id="10" w:name="_Toc100052364"/>
      <w:r>
        <w:rPr>
          <w:rFonts w:hint="eastAsia" w:ascii="宋体" w:hAnsi="宋体"/>
          <w:b/>
          <w:bCs/>
          <w:kern w:val="0"/>
          <w:sz w:val="28"/>
          <w:szCs w:val="28"/>
        </w:rPr>
        <w:t>一、对通用条款的补充内容</w:t>
      </w:r>
    </w:p>
    <w:bookmarkEnd w:id="3"/>
    <w:bookmarkEnd w:id="4"/>
    <w:bookmarkEnd w:id="5"/>
    <w:bookmarkEnd w:id="6"/>
    <w:bookmarkEnd w:id="7"/>
    <w:bookmarkEnd w:id="8"/>
    <w:bookmarkEnd w:id="9"/>
    <w:bookmarkEnd w:id="10"/>
    <w:tbl>
      <w:tblPr>
        <w:tblStyle w:val="4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3EA5A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86B7641">
            <w:pPr>
              <w:jc w:val="center"/>
              <w:rPr>
                <w:rFonts w:ascii="宋体" w:hAnsi="宋体"/>
                <w:b/>
                <w:bCs/>
                <w:szCs w:val="24"/>
              </w:rPr>
            </w:pPr>
            <w:r>
              <w:rPr>
                <w:rFonts w:hint="eastAsia" w:ascii="宋体" w:hAnsi="宋体"/>
                <w:b/>
                <w:bCs/>
                <w:szCs w:val="24"/>
              </w:rPr>
              <w:t>序号</w:t>
            </w:r>
          </w:p>
        </w:tc>
        <w:tc>
          <w:tcPr>
            <w:tcW w:w="2160" w:type="dxa"/>
            <w:vAlign w:val="center"/>
          </w:tcPr>
          <w:p w14:paraId="10780A5F">
            <w:pPr>
              <w:jc w:val="center"/>
              <w:rPr>
                <w:rFonts w:ascii="宋体" w:hAnsi="宋体"/>
                <w:b/>
                <w:bCs/>
                <w:szCs w:val="24"/>
              </w:rPr>
            </w:pPr>
            <w:r>
              <w:rPr>
                <w:rFonts w:hint="eastAsia" w:ascii="宋体" w:hAnsi="宋体"/>
                <w:b/>
                <w:bCs/>
                <w:szCs w:val="24"/>
              </w:rPr>
              <w:t>内   容</w:t>
            </w:r>
          </w:p>
        </w:tc>
        <w:tc>
          <w:tcPr>
            <w:tcW w:w="5400" w:type="dxa"/>
            <w:vAlign w:val="center"/>
          </w:tcPr>
          <w:p w14:paraId="4FD576BF">
            <w:pPr>
              <w:jc w:val="center"/>
              <w:rPr>
                <w:rFonts w:ascii="宋体" w:hAnsi="宋体"/>
                <w:b/>
                <w:bCs/>
                <w:szCs w:val="24"/>
              </w:rPr>
            </w:pPr>
            <w:r>
              <w:rPr>
                <w:rFonts w:hint="eastAsia" w:ascii="宋体" w:hAnsi="宋体"/>
                <w:b/>
                <w:bCs/>
                <w:szCs w:val="24"/>
              </w:rPr>
              <w:t>规      定</w:t>
            </w:r>
          </w:p>
        </w:tc>
      </w:tr>
      <w:tr w14:paraId="22063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5" w:hRule="atLeast"/>
          <w:jc w:val="center"/>
        </w:trPr>
        <w:tc>
          <w:tcPr>
            <w:tcW w:w="807" w:type="dxa"/>
            <w:vAlign w:val="center"/>
          </w:tcPr>
          <w:p w14:paraId="47052309">
            <w:pPr>
              <w:jc w:val="center"/>
              <w:rPr>
                <w:rFonts w:ascii="宋体" w:hAnsi="宋体"/>
                <w:szCs w:val="24"/>
              </w:rPr>
            </w:pPr>
            <w:r>
              <w:rPr>
                <w:rFonts w:hint="eastAsia" w:ascii="宋体" w:hAnsi="宋体"/>
                <w:szCs w:val="24"/>
              </w:rPr>
              <w:t>1</w:t>
            </w:r>
          </w:p>
        </w:tc>
        <w:tc>
          <w:tcPr>
            <w:tcW w:w="2160" w:type="dxa"/>
            <w:vAlign w:val="center"/>
          </w:tcPr>
          <w:p w14:paraId="0B046D36">
            <w:pPr>
              <w:jc w:val="center"/>
              <w:rPr>
                <w:rFonts w:ascii="Times New Roman" w:hAnsi="Times New Roman"/>
                <w:szCs w:val="24"/>
              </w:rPr>
            </w:pPr>
            <w:r>
              <w:rPr>
                <w:rFonts w:hint="eastAsia" w:ascii="Times New Roman" w:hAnsi="Times New Roman"/>
                <w:szCs w:val="24"/>
              </w:rPr>
              <w:t>联合体投标</w:t>
            </w:r>
          </w:p>
        </w:tc>
        <w:tc>
          <w:tcPr>
            <w:tcW w:w="5400" w:type="dxa"/>
            <w:vAlign w:val="center"/>
          </w:tcPr>
          <w:p w14:paraId="1BB9E4CE">
            <w:pPr>
              <w:rPr>
                <w:rFonts w:ascii="宋体" w:hAnsi="宋体"/>
                <w:snapToGrid w:val="0"/>
                <w:kern w:val="0"/>
                <w:szCs w:val="32"/>
                <w:lang w:val="zh-CN"/>
              </w:rPr>
            </w:pPr>
            <w:r>
              <w:rPr>
                <w:rFonts w:hint="eastAsia" w:ascii="宋体" w:hAnsi="宋体"/>
                <w:snapToGrid w:val="0"/>
                <w:kern w:val="0"/>
                <w:szCs w:val="32"/>
                <w:lang w:val="zh-CN"/>
              </w:rPr>
              <w:t>见《招标公告》中“项目基本情况”部分的相关内容</w:t>
            </w:r>
          </w:p>
        </w:tc>
      </w:tr>
      <w:tr w14:paraId="37CA2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5" w:hRule="atLeast"/>
          <w:jc w:val="center"/>
        </w:trPr>
        <w:tc>
          <w:tcPr>
            <w:tcW w:w="807" w:type="dxa"/>
            <w:vAlign w:val="center"/>
          </w:tcPr>
          <w:p w14:paraId="664BD1C2">
            <w:pPr>
              <w:jc w:val="center"/>
              <w:rPr>
                <w:rFonts w:ascii="宋体" w:hAnsi="宋体"/>
                <w:szCs w:val="24"/>
              </w:rPr>
            </w:pPr>
            <w:r>
              <w:rPr>
                <w:rFonts w:hint="eastAsia" w:ascii="宋体" w:hAnsi="宋体"/>
                <w:szCs w:val="24"/>
              </w:rPr>
              <w:t>2</w:t>
            </w:r>
          </w:p>
        </w:tc>
        <w:tc>
          <w:tcPr>
            <w:tcW w:w="2160" w:type="dxa"/>
            <w:vAlign w:val="center"/>
          </w:tcPr>
          <w:p w14:paraId="314ADD8E">
            <w:pPr>
              <w:jc w:val="center"/>
              <w:rPr>
                <w:rFonts w:ascii="宋体" w:hAnsi="宋体"/>
                <w:szCs w:val="24"/>
              </w:rPr>
            </w:pPr>
            <w:r>
              <w:rPr>
                <w:rFonts w:hint="eastAsia" w:ascii="宋体" w:hAnsi="宋体"/>
                <w:szCs w:val="24"/>
              </w:rPr>
              <w:t>投标有效期</w:t>
            </w:r>
          </w:p>
        </w:tc>
        <w:tc>
          <w:tcPr>
            <w:tcW w:w="5400" w:type="dxa"/>
            <w:vAlign w:val="center"/>
          </w:tcPr>
          <w:p w14:paraId="28D7AF0E">
            <w:pPr>
              <w:rPr>
                <w:rFonts w:ascii="宋体" w:hAnsi="宋体"/>
                <w:szCs w:val="24"/>
              </w:rPr>
            </w:pPr>
            <w:r>
              <w:rPr>
                <w:rFonts w:hint="eastAsia" w:ascii="宋体" w:hAnsi="宋体"/>
                <w:szCs w:val="24"/>
                <w:u w:val="single"/>
              </w:rPr>
              <w:t>90</w:t>
            </w:r>
            <w:r>
              <w:rPr>
                <w:rFonts w:ascii="宋体" w:hAnsi="宋体"/>
                <w:szCs w:val="24"/>
                <w:u w:val="single"/>
              </w:rPr>
              <w:t>日历天</w:t>
            </w:r>
            <w:r>
              <w:rPr>
                <w:rFonts w:ascii="宋体" w:hAnsi="宋体"/>
                <w:szCs w:val="24"/>
              </w:rPr>
              <w:t>（从投标截止之日算起）</w:t>
            </w:r>
          </w:p>
        </w:tc>
      </w:tr>
      <w:tr w14:paraId="05419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5" w:hRule="atLeast"/>
          <w:jc w:val="center"/>
        </w:trPr>
        <w:tc>
          <w:tcPr>
            <w:tcW w:w="807" w:type="dxa"/>
            <w:vAlign w:val="center"/>
          </w:tcPr>
          <w:p w14:paraId="135EB724">
            <w:pPr>
              <w:jc w:val="center"/>
              <w:rPr>
                <w:rFonts w:ascii="宋体" w:hAnsi="宋体"/>
                <w:szCs w:val="24"/>
              </w:rPr>
            </w:pPr>
            <w:r>
              <w:rPr>
                <w:rFonts w:hint="eastAsia" w:ascii="宋体" w:hAnsi="宋体"/>
                <w:szCs w:val="24"/>
              </w:rPr>
              <w:t>3</w:t>
            </w:r>
          </w:p>
        </w:tc>
        <w:tc>
          <w:tcPr>
            <w:tcW w:w="2160" w:type="dxa"/>
            <w:vAlign w:val="center"/>
          </w:tcPr>
          <w:p w14:paraId="46E9B8BD">
            <w:pPr>
              <w:jc w:val="center"/>
              <w:rPr>
                <w:rFonts w:ascii="宋体" w:hAnsi="宋体"/>
                <w:szCs w:val="24"/>
              </w:rPr>
            </w:pPr>
            <w:r>
              <w:rPr>
                <w:rFonts w:hint="eastAsia" w:ascii="宋体" w:hAnsi="宋体"/>
                <w:szCs w:val="24"/>
              </w:rPr>
              <w:t>投标人的替代方案</w:t>
            </w:r>
          </w:p>
        </w:tc>
        <w:tc>
          <w:tcPr>
            <w:tcW w:w="5400" w:type="dxa"/>
            <w:vAlign w:val="center"/>
          </w:tcPr>
          <w:p w14:paraId="5B5CE8A7">
            <w:pPr>
              <w:rPr>
                <w:rFonts w:ascii="宋体" w:hAnsi="宋体"/>
                <w:szCs w:val="24"/>
              </w:rPr>
            </w:pPr>
            <w:r>
              <w:rPr>
                <w:rFonts w:hint="eastAsia" w:ascii="宋体" w:hAnsi="宋体"/>
                <w:szCs w:val="24"/>
              </w:rPr>
              <w:t>不允许</w:t>
            </w:r>
          </w:p>
        </w:tc>
      </w:tr>
      <w:tr w14:paraId="59FE2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6A1C7E2">
            <w:pPr>
              <w:jc w:val="center"/>
              <w:rPr>
                <w:rFonts w:ascii="宋体" w:hAnsi="宋体"/>
                <w:szCs w:val="24"/>
              </w:rPr>
            </w:pPr>
            <w:r>
              <w:rPr>
                <w:rFonts w:hint="eastAsia" w:ascii="宋体" w:hAnsi="宋体"/>
                <w:szCs w:val="24"/>
              </w:rPr>
              <w:t>4</w:t>
            </w:r>
          </w:p>
        </w:tc>
        <w:tc>
          <w:tcPr>
            <w:tcW w:w="2160" w:type="dxa"/>
            <w:vAlign w:val="center"/>
          </w:tcPr>
          <w:p w14:paraId="3FFBB985">
            <w:pPr>
              <w:jc w:val="center"/>
              <w:rPr>
                <w:rFonts w:ascii="宋体" w:hAnsi="宋体"/>
                <w:szCs w:val="24"/>
              </w:rPr>
            </w:pPr>
            <w:r>
              <w:rPr>
                <w:rFonts w:hint="eastAsia" w:ascii="宋体" w:hAnsi="宋体"/>
                <w:szCs w:val="24"/>
              </w:rPr>
              <w:t>代理服务费</w:t>
            </w:r>
          </w:p>
        </w:tc>
        <w:tc>
          <w:tcPr>
            <w:tcW w:w="5400" w:type="dxa"/>
            <w:vAlign w:val="center"/>
          </w:tcPr>
          <w:p w14:paraId="474903D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按深财购[2018]27号文件规定的代理费用参考标准，向中标供应商收取代理服务费，具体如下：</w:t>
            </w:r>
          </w:p>
          <w:p w14:paraId="764022BF">
            <w:pPr>
              <w:spacing w:line="360" w:lineRule="exact"/>
              <w:rPr>
                <w:rFonts w:asciiTheme="minorEastAsia" w:hAnsiTheme="minorEastAsia" w:eastAsiaTheme="minorEastAsia"/>
                <w:szCs w:val="20"/>
              </w:rPr>
            </w:pPr>
            <w:r>
              <w:rPr>
                <w:rFonts w:hint="eastAsia" w:ascii="宋体"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szCs w:val="20"/>
              </w:rPr>
              <w:t>，费用下浮</w:t>
            </w:r>
            <w:r>
              <w:rPr>
                <w:rFonts w:hint="eastAsia" w:asciiTheme="minorEastAsia" w:hAnsiTheme="minorEastAsia" w:eastAsiaTheme="minorEastAsia"/>
                <w:szCs w:val="20"/>
                <w:u w:val="single"/>
              </w:rPr>
              <w:t xml:space="preserve">  10  </w:t>
            </w:r>
            <w:r>
              <w:rPr>
                <w:rFonts w:hint="eastAsia" w:asciiTheme="minorEastAsia" w:hAnsiTheme="minorEastAsia" w:eastAsiaTheme="minorEastAsia"/>
                <w:szCs w:val="20"/>
              </w:rPr>
              <w:t>%，最低收取人民币4500元。</w:t>
            </w:r>
          </w:p>
          <w:p w14:paraId="2BD2E046">
            <w:pPr>
              <w:spacing w:line="360" w:lineRule="exact"/>
              <w:rPr>
                <w:rFonts w:ascii="宋体" w:hAnsi="宋体"/>
              </w:rPr>
            </w:pPr>
            <w:r>
              <w:rPr>
                <w:rFonts w:hint="eastAsia" w:ascii="Times New Roman" w:hAnsi="宋体"/>
                <w:szCs w:val="24"/>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szCs w:val="24"/>
              </w:rPr>
              <w:t>，费用下浮</w:t>
            </w:r>
            <w:r>
              <w:rPr>
                <w:rFonts w:hint="eastAsia" w:asciiTheme="minorEastAsia" w:hAnsiTheme="minorEastAsia" w:eastAsiaTheme="minorEastAsia"/>
                <w:szCs w:val="24"/>
                <w:u w:val="single"/>
              </w:rPr>
              <w:t xml:space="preserve">  0  </w:t>
            </w:r>
            <w:r>
              <w:rPr>
                <w:rFonts w:hint="eastAsia" w:asciiTheme="minorEastAsia" w:hAnsiTheme="minorEastAsia" w:eastAsiaTheme="minorEastAsia"/>
                <w:szCs w:val="24"/>
              </w:rPr>
              <w:t>%，收取代理服务费：人民币</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元。</w:t>
            </w:r>
          </w:p>
        </w:tc>
      </w:tr>
      <w:tr w14:paraId="0756A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6B06AC7E">
            <w:pPr>
              <w:jc w:val="center"/>
              <w:rPr>
                <w:rFonts w:ascii="宋体" w:hAnsi="宋体"/>
                <w:szCs w:val="24"/>
              </w:rPr>
            </w:pPr>
            <w:r>
              <w:rPr>
                <w:rFonts w:hint="eastAsia" w:ascii="宋体" w:hAnsi="宋体"/>
                <w:szCs w:val="24"/>
              </w:rPr>
              <w:t>5</w:t>
            </w:r>
          </w:p>
        </w:tc>
        <w:tc>
          <w:tcPr>
            <w:tcW w:w="2160" w:type="dxa"/>
            <w:vAlign w:val="center"/>
          </w:tcPr>
          <w:p w14:paraId="17B7E012">
            <w:pPr>
              <w:jc w:val="center"/>
              <w:rPr>
                <w:rFonts w:ascii="宋体" w:hAnsi="宋体"/>
                <w:szCs w:val="24"/>
              </w:rPr>
            </w:pPr>
            <w:r>
              <w:rPr>
                <w:rFonts w:hint="eastAsia" w:ascii="宋体" w:hAnsi="宋体"/>
                <w:szCs w:val="24"/>
              </w:rPr>
              <w:t>履约保证金</w:t>
            </w:r>
          </w:p>
        </w:tc>
        <w:tc>
          <w:tcPr>
            <w:tcW w:w="5400" w:type="dxa"/>
            <w:vAlign w:val="center"/>
          </w:tcPr>
          <w:p w14:paraId="08A5D827">
            <w:pPr>
              <w:spacing w:line="360" w:lineRule="exact"/>
              <w:rPr>
                <w:rFonts w:ascii="宋体" w:hAnsi="宋体"/>
                <w:szCs w:val="24"/>
              </w:rPr>
            </w:pPr>
            <w:r>
              <w:rPr>
                <w:rFonts w:hint="eastAsia" w:ascii="宋体" w:hAnsi="宋体" w:eastAsia="MS Mincho" w:cs="MS Mincho"/>
                <w:sz w:val="24"/>
                <w:szCs w:val="24"/>
              </w:rPr>
              <w:t>☑</w:t>
            </w:r>
            <w:r>
              <w:rPr>
                <w:rFonts w:hint="eastAsia" w:ascii="宋体" w:hAnsi="宋体"/>
                <w:szCs w:val="24"/>
              </w:rPr>
              <w:t>本项目不收取履约保证金。</w:t>
            </w:r>
          </w:p>
          <w:p w14:paraId="5A74D67D">
            <w:pPr>
              <w:spacing w:line="360" w:lineRule="exact"/>
              <w:rPr>
                <w:rFonts w:ascii="宋体" w:hAnsi="宋体"/>
                <w:szCs w:val="24"/>
              </w:rPr>
            </w:pPr>
            <w:r>
              <w:rPr>
                <w:rFonts w:hint="eastAsia" w:ascii="Times New Roman" w:hAnsi="宋体"/>
                <w:szCs w:val="24"/>
              </w:rPr>
              <w:t>□</w:t>
            </w:r>
            <w:r>
              <w:rPr>
                <w:rFonts w:hint="eastAsia" w:ascii="宋体" w:hAnsi="宋体"/>
                <w:szCs w:val="24"/>
              </w:rPr>
              <w:t>本项目收取履约保证金数额为合同金额的</w:t>
            </w:r>
            <w:r>
              <w:rPr>
                <w:rFonts w:hint="eastAsia" w:ascii="宋体" w:hAnsi="宋体"/>
                <w:szCs w:val="24"/>
                <w:u w:val="single"/>
              </w:rPr>
              <w:t xml:space="preserve">  </w:t>
            </w:r>
            <w:r>
              <w:rPr>
                <w:rFonts w:hint="eastAsia" w:ascii="宋体" w:hAnsi="宋体"/>
                <w:szCs w:val="24"/>
              </w:rPr>
              <w:t>%（不超过10%）。</w:t>
            </w:r>
          </w:p>
          <w:p w14:paraId="20BC5F63">
            <w:pPr>
              <w:spacing w:line="360" w:lineRule="exact"/>
              <w:rPr>
                <w:rFonts w:ascii="宋体" w:hAnsi="宋体"/>
                <w:szCs w:val="24"/>
              </w:rPr>
            </w:pPr>
            <w:r>
              <w:rPr>
                <w:rFonts w:hint="eastAsia" w:ascii="宋体" w:hAnsi="宋体"/>
                <w:szCs w:val="24"/>
              </w:rPr>
              <w:t>根据《深圳市财政局关于进一步优化政府采购营商环境的通知》（深财购〔2021〕31号），政府采购原则上不收取履约保证金；确需收取履约保证金的，应当允许供应商自主选择以支票、汇票、本票、保函等非现金形式缴纳或提交。收取履约保证金的，应当在采购文件中明确履约保证金退还的方式、时间、条件和不予退还的情形，并明确逾期退还履约保证金的违约责任。</w:t>
            </w:r>
          </w:p>
          <w:p w14:paraId="6A14B810">
            <w:pPr>
              <w:spacing w:line="360" w:lineRule="exact"/>
              <w:rPr>
                <w:rFonts w:ascii="宋体" w:hAnsi="宋体"/>
              </w:rPr>
            </w:pPr>
            <w:r>
              <w:rPr>
                <w:rFonts w:hint="eastAsia" w:ascii="宋体" w:hAnsi="宋体"/>
                <w:szCs w:val="24"/>
              </w:rPr>
              <w:t>如中标供应商为</w:t>
            </w:r>
            <w:r>
              <w:rPr>
                <w:rFonts w:hint="eastAsia" w:ascii="宋体" w:cs="宋体" w:hAnsiTheme="minorHAnsi"/>
                <w:kern w:val="0"/>
                <w:szCs w:val="21"/>
              </w:rPr>
              <w:t>中小微企业，则收取的履约保证金的数额不得超过政府采购合同金额的</w:t>
            </w:r>
            <w:r>
              <w:rPr>
                <w:rFonts w:ascii="宋体" w:cs="宋体" w:hAnsiTheme="minorHAnsi"/>
                <w:kern w:val="0"/>
                <w:szCs w:val="21"/>
              </w:rPr>
              <w:t>5%</w:t>
            </w:r>
            <w:r>
              <w:rPr>
                <w:rFonts w:hint="eastAsia" w:ascii="宋体" w:cs="宋体" w:hAnsiTheme="minorHAnsi"/>
                <w:kern w:val="0"/>
                <w:szCs w:val="21"/>
              </w:rPr>
              <w:t>。</w:t>
            </w:r>
          </w:p>
        </w:tc>
      </w:tr>
    </w:tbl>
    <w:p w14:paraId="6AEA9746">
      <w:pPr>
        <w:rPr>
          <w:rFonts w:ascii="Times New Roman" w:hAnsi="Times New Roman"/>
          <w:b/>
          <w:szCs w:val="24"/>
        </w:rPr>
      </w:pPr>
      <w:r>
        <w:rPr>
          <w:rFonts w:hint="eastAsia" w:ascii="Times New Roman" w:hAnsi="Times New Roman"/>
          <w:szCs w:val="21"/>
        </w:rPr>
        <w:t xml:space="preserve">    备注：本表为通用条款相关内容的补充和明确，如与通用条款相冲突的以本表为准。</w:t>
      </w:r>
    </w:p>
    <w:p w14:paraId="76093FB9">
      <w:pPr>
        <w:rPr>
          <w:rFonts w:ascii="Times New Roman" w:hAnsi="Times New Roman"/>
          <w:b/>
          <w:szCs w:val="24"/>
        </w:rPr>
      </w:pPr>
    </w:p>
    <w:p w14:paraId="028B17DD">
      <w:pPr>
        <w:keepNext/>
        <w:keepLines/>
        <w:adjustRightInd w:val="0"/>
        <w:spacing w:before="156" w:beforeLines="50" w:after="156" w:afterLines="50"/>
        <w:jc w:val="center"/>
        <w:textAlignment w:val="baseline"/>
        <w:outlineLvl w:val="1"/>
        <w:rPr>
          <w:rFonts w:ascii="宋体" w:hAnsi="宋体"/>
          <w:b/>
          <w:bCs/>
          <w:kern w:val="0"/>
          <w:sz w:val="28"/>
          <w:szCs w:val="28"/>
        </w:rPr>
      </w:pPr>
      <w:bookmarkStart w:id="11" w:name="_Toc128884461"/>
      <w:r>
        <w:rPr>
          <w:rFonts w:hint="eastAsia" w:ascii="宋体" w:hAnsi="宋体"/>
          <w:b/>
          <w:bCs/>
          <w:kern w:val="0"/>
          <w:sz w:val="28"/>
          <w:szCs w:val="28"/>
        </w:rPr>
        <w:t>二、实质性条款</w:t>
      </w:r>
    </w:p>
    <w:tbl>
      <w:tblPr>
        <w:tblStyle w:val="42"/>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8"/>
      </w:tblGrid>
      <w:tr w14:paraId="38A9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63BC810">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658" w:type="dxa"/>
            <w:vAlign w:val="center"/>
          </w:tcPr>
          <w:p w14:paraId="02BA06B2">
            <w:pPr>
              <w:adjustRightInd w:val="0"/>
              <w:snapToGrid w:val="0"/>
              <w:spacing w:line="360" w:lineRule="auto"/>
              <w:jc w:val="center"/>
              <w:rPr>
                <w:rFonts w:ascii="宋体" w:hAnsi="宋体"/>
                <w:kern w:val="0"/>
                <w:szCs w:val="21"/>
              </w:rPr>
            </w:pPr>
            <w:r>
              <w:rPr>
                <w:rFonts w:hint="eastAsia" w:ascii="宋体" w:hAnsi="宋体"/>
                <w:kern w:val="0"/>
                <w:szCs w:val="21"/>
              </w:rPr>
              <w:t>具体内容</w:t>
            </w:r>
          </w:p>
        </w:tc>
      </w:tr>
      <w:tr w14:paraId="67A4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2F9AD80">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658" w:type="dxa"/>
            <w:vAlign w:val="center"/>
          </w:tcPr>
          <w:p w14:paraId="3E83EB19">
            <w:pPr>
              <w:keepNext/>
              <w:keepLines/>
              <w:tabs>
                <w:tab w:val="left" w:pos="765"/>
              </w:tabs>
              <w:spacing w:line="376" w:lineRule="auto"/>
              <w:outlineLvl w:val="3"/>
              <w:rPr>
                <w:rFonts w:hAnsi="宋体"/>
                <w:kern w:val="0"/>
                <w:szCs w:val="21"/>
              </w:rPr>
            </w:pPr>
            <w:r>
              <w:rPr>
                <w:rFonts w:hint="eastAsia" w:ascii="宋体" w:hAnsi="宋体" w:cs="宋体"/>
                <w:kern w:val="0"/>
                <w:szCs w:val="21"/>
              </w:rPr>
              <w:t>满足本项目所有标★的条款要求</w:t>
            </w:r>
            <w:r>
              <w:rPr>
                <w:rFonts w:hint="eastAsia" w:ascii="宋体" w:hAnsi="宋体" w:cs="宋体"/>
                <w:b/>
                <w:bCs/>
                <w:kern w:val="0"/>
                <w:szCs w:val="21"/>
              </w:rPr>
              <w:t>（涉及提供佐证材料的，应按要求提供相应证明材料，任一项未响应或不满足要求的，将导致投标无效。）</w:t>
            </w:r>
          </w:p>
        </w:tc>
      </w:tr>
    </w:tbl>
    <w:p w14:paraId="6F2A70AF">
      <w:pPr>
        <w:adjustRightInd w:val="0"/>
        <w:snapToGrid w:val="0"/>
        <w:spacing w:line="360" w:lineRule="auto"/>
        <w:ind w:firstLine="482" w:firstLineChars="200"/>
      </w:pPr>
      <w:r>
        <w:rPr>
          <w:rFonts w:hint="eastAsia" w:ascii="黑体"/>
          <w:b/>
          <w:kern w:val="0"/>
          <w:sz w:val="24"/>
        </w:rPr>
        <w:t>注：上表所列内容为不可负偏离的实质性条款。</w:t>
      </w:r>
    </w:p>
    <w:bookmarkEnd w:id="11"/>
    <w:p w14:paraId="6E77FA8F">
      <w:pPr>
        <w:rPr>
          <w:rFonts w:ascii="宋体" w:hAnsi="宋体"/>
          <w:sz w:val="28"/>
          <w:szCs w:val="28"/>
        </w:rPr>
      </w:pPr>
      <w:r>
        <w:rPr>
          <w:rFonts w:hint="eastAsia" w:ascii="宋体" w:hAnsi="宋体"/>
          <w:sz w:val="28"/>
          <w:szCs w:val="28"/>
        </w:rPr>
        <w:br w:type="page"/>
      </w:r>
    </w:p>
    <w:p w14:paraId="4AF4FBA0">
      <w:pPr>
        <w:pStyle w:val="2"/>
        <w:jc w:val="center"/>
        <w:rPr>
          <w:rFonts w:ascii="宋体" w:hAnsi="宋体"/>
          <w:sz w:val="28"/>
          <w:szCs w:val="28"/>
        </w:rPr>
      </w:pPr>
      <w:r>
        <w:rPr>
          <w:rFonts w:hint="eastAsia" w:ascii="宋体" w:hAnsi="宋体"/>
          <w:sz w:val="28"/>
          <w:szCs w:val="28"/>
        </w:rPr>
        <w:t>三、项目概况</w:t>
      </w:r>
    </w:p>
    <w:p w14:paraId="1C3A5D36">
      <w:pPr>
        <w:pStyle w:val="2"/>
      </w:pPr>
      <w:r>
        <w:rPr>
          <w:rFonts w:hint="eastAsia"/>
        </w:rPr>
        <w:t>（一）采购需求</w:t>
      </w:r>
    </w:p>
    <w:tbl>
      <w:tblPr>
        <w:tblStyle w:val="42"/>
        <w:tblW w:w="9245" w:type="dxa"/>
        <w:tblInd w:w="0" w:type="dxa"/>
        <w:tblLayout w:type="fixed"/>
        <w:tblCellMar>
          <w:top w:w="15" w:type="dxa"/>
          <w:left w:w="15" w:type="dxa"/>
          <w:bottom w:w="15" w:type="dxa"/>
          <w:right w:w="15" w:type="dxa"/>
        </w:tblCellMar>
      </w:tblPr>
      <w:tblGrid>
        <w:gridCol w:w="866"/>
        <w:gridCol w:w="3685"/>
        <w:gridCol w:w="921"/>
        <w:gridCol w:w="922"/>
        <w:gridCol w:w="1701"/>
        <w:gridCol w:w="1150"/>
      </w:tblGrid>
      <w:tr w14:paraId="1AE102AF">
        <w:tblPrEx>
          <w:tblCellMar>
            <w:top w:w="15" w:type="dxa"/>
            <w:left w:w="15" w:type="dxa"/>
            <w:bottom w:w="15" w:type="dxa"/>
            <w:right w:w="15" w:type="dxa"/>
          </w:tblCellMar>
        </w:tblPrEx>
        <w:trPr>
          <w:trHeight w:val="90" w:hRule="atLeast"/>
        </w:trPr>
        <w:tc>
          <w:tcPr>
            <w:tcW w:w="866" w:type="dxa"/>
            <w:tcBorders>
              <w:top w:val="single" w:color="000000" w:sz="4" w:space="0"/>
              <w:left w:val="single" w:color="000000" w:sz="4" w:space="0"/>
              <w:right w:val="single" w:color="000000" w:sz="4" w:space="0"/>
            </w:tcBorders>
            <w:vAlign w:val="center"/>
          </w:tcPr>
          <w:p w14:paraId="0BE8B4F3">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0084E9D9">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5DFCB2AA">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25119623">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3130BEC7">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1403D33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150" w:type="dxa"/>
            <w:tcBorders>
              <w:top w:val="single" w:color="000000" w:sz="4" w:space="0"/>
              <w:left w:val="single" w:color="000000" w:sz="4" w:space="0"/>
              <w:bottom w:val="single" w:color="000000" w:sz="4" w:space="0"/>
              <w:right w:val="single" w:color="000000" w:sz="4" w:space="0"/>
            </w:tcBorders>
            <w:vAlign w:val="center"/>
          </w:tcPr>
          <w:p w14:paraId="522A4548">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43913CCE">
        <w:tblPrEx>
          <w:tblCellMar>
            <w:top w:w="15" w:type="dxa"/>
            <w:left w:w="15" w:type="dxa"/>
            <w:bottom w:w="15" w:type="dxa"/>
            <w:right w:w="15"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19F27E4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13A668B5">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napToGrid w:val="0"/>
                <w:szCs w:val="21"/>
                <w:lang w:eastAsia="zh-CN"/>
              </w:rPr>
              <w:t>层流净化空调维保服务项目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526072F1">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362ACABB">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597F42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1,780,000.00</w:t>
            </w:r>
          </w:p>
        </w:tc>
        <w:tc>
          <w:tcPr>
            <w:tcW w:w="1150" w:type="dxa"/>
            <w:tcBorders>
              <w:top w:val="single" w:color="000000" w:sz="4" w:space="0"/>
              <w:left w:val="single" w:color="000000" w:sz="4" w:space="0"/>
              <w:bottom w:val="single" w:color="000000" w:sz="4" w:space="0"/>
              <w:right w:val="single" w:color="000000" w:sz="4" w:space="0"/>
            </w:tcBorders>
            <w:vAlign w:val="center"/>
          </w:tcPr>
          <w:p w14:paraId="54D812B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18F5CDD5">
      <w:pPr>
        <w:pStyle w:val="2"/>
      </w:pPr>
      <w:r>
        <w:rPr>
          <w:rFonts w:hint="eastAsia"/>
        </w:rPr>
        <w:t>（二）项目基本情况</w:t>
      </w:r>
    </w:p>
    <w:p w14:paraId="11C9BDDC">
      <w:pPr>
        <w:pStyle w:val="5"/>
        <w:adjustRightInd/>
        <w:spacing w:line="360" w:lineRule="auto"/>
        <w:ind w:firstLine="422" w:firstLineChars="200"/>
        <w:jc w:val="left"/>
        <w:textAlignment w:val="auto"/>
        <w:rPr>
          <w:rFonts w:ascii="宋体" w:hAnsi="宋体" w:cs="宋体"/>
          <w:sz w:val="21"/>
          <w:szCs w:val="21"/>
        </w:rPr>
      </w:pPr>
      <w:r>
        <w:rPr>
          <w:rFonts w:hint="eastAsia" w:ascii="宋体" w:hAnsi="宋体" w:cs="宋体"/>
          <w:b/>
          <w:bCs/>
          <w:sz w:val="21"/>
          <w:szCs w:val="21"/>
        </w:rPr>
        <w:t>1.维保服务范围</w:t>
      </w:r>
    </w:p>
    <w:p w14:paraId="50A9A0A2">
      <w:pPr>
        <w:ind w:firstLine="422" w:firstLineChars="200"/>
        <w:rPr>
          <w:rFonts w:ascii="宋体" w:hAnsi="宋体" w:cs="宋体"/>
          <w:b/>
          <w:bCs/>
          <w:szCs w:val="21"/>
        </w:rPr>
      </w:pPr>
      <w:r>
        <w:rPr>
          <w:rFonts w:hint="eastAsia" w:ascii="宋体" w:hAnsi="宋体" w:cs="宋体"/>
          <w:b/>
          <w:bCs/>
          <w:szCs w:val="21"/>
        </w:rPr>
        <w:t>福田院区：</w:t>
      </w:r>
    </w:p>
    <w:p w14:paraId="33BA07C9">
      <w:pPr>
        <w:spacing w:line="360" w:lineRule="auto"/>
        <w:ind w:firstLine="420" w:firstLineChars="200"/>
        <w:rPr>
          <w:rFonts w:ascii="宋体" w:hAnsi="宋体" w:cs="宋体"/>
          <w:szCs w:val="21"/>
        </w:rPr>
      </w:pPr>
      <w:r>
        <w:rPr>
          <w:rFonts w:hint="eastAsia" w:ascii="宋体" w:hAnsi="宋体" w:cs="宋体"/>
          <w:szCs w:val="21"/>
        </w:rPr>
        <w:t>① B楼负1楼供应室(5间)，1楼日间手术室（4间），2楼静脉配置（4间），3楼检验科微生物室，4楼PICU（6间），NICU（6间），5楼手术部（手术室21间、洁净房15间）</w:t>
      </w:r>
      <w:ins w:id="2" w:author="中正-李工" w:date="2025-09-12T15:04:00Z">
        <w:r>
          <w:rPr>
            <w:rFonts w:hint="eastAsia" w:ascii="宋体" w:hAnsi="宋体" w:cs="宋体"/>
            <w:szCs w:val="21"/>
          </w:rPr>
          <w:t>，</w:t>
        </w:r>
      </w:ins>
      <w:r>
        <w:rPr>
          <w:rFonts w:hint="eastAsia" w:ascii="宋体" w:hAnsi="宋体" w:cs="宋体"/>
          <w:szCs w:val="21"/>
        </w:rPr>
        <w:t>8楼泌尿科治疗室。</w:t>
      </w:r>
    </w:p>
    <w:p w14:paraId="658ABF21">
      <w:pPr>
        <w:spacing w:line="360" w:lineRule="auto"/>
        <w:ind w:firstLine="420" w:firstLineChars="200"/>
        <w:rPr>
          <w:rFonts w:ascii="宋体" w:hAnsi="宋体" w:cs="宋体"/>
          <w:szCs w:val="21"/>
        </w:rPr>
      </w:pPr>
      <w:r>
        <w:rPr>
          <w:rFonts w:hint="eastAsia" w:ascii="宋体" w:hAnsi="宋体" w:cs="宋体"/>
          <w:szCs w:val="21"/>
        </w:rPr>
        <w:t>② A楼1楼发热门诊（2台），3楼内镜中心（三间），10楼负压病房（4台），10楼儿科研究所（2台），11楼血液病房（26间），东门临建楼2楼检验科实验室（8间）。</w:t>
      </w:r>
    </w:p>
    <w:p w14:paraId="56590679">
      <w:pPr>
        <w:spacing w:line="360" w:lineRule="auto"/>
        <w:ind w:firstLine="420" w:firstLineChars="200"/>
        <w:rPr>
          <w:rFonts w:ascii="宋体" w:hAnsi="宋体" w:cs="宋体"/>
          <w:color w:val="auto"/>
          <w:szCs w:val="21"/>
        </w:rPr>
      </w:pPr>
      <w:r>
        <w:rPr>
          <w:rFonts w:hint="eastAsia" w:ascii="宋体" w:hAnsi="宋体" w:cs="宋体"/>
          <w:color w:val="auto"/>
          <w:szCs w:val="21"/>
        </w:rPr>
        <w:t>③</w:t>
      </w:r>
      <w:r>
        <w:rPr>
          <w:rFonts w:ascii="宋体" w:hAnsi="宋体" w:cs="宋体"/>
          <w:color w:val="auto"/>
          <w:szCs w:val="21"/>
        </w:rPr>
        <w:t xml:space="preserve"> </w:t>
      </w:r>
      <w:r>
        <w:rPr>
          <w:rFonts w:hint="eastAsia" w:ascii="宋体" w:hAnsi="宋体" w:cs="宋体"/>
          <w:color w:val="auto"/>
          <w:szCs w:val="21"/>
        </w:rPr>
        <w:t>上述区域共计11个净化区域，2个负压区域（主要2个区域，10楼负压病房、东门临建楼2楼检验科实验室）。</w:t>
      </w:r>
    </w:p>
    <w:p w14:paraId="05E495A3">
      <w:pPr>
        <w:spacing w:line="360" w:lineRule="auto"/>
        <w:ind w:firstLine="420" w:firstLineChars="200"/>
        <w:rPr>
          <w:rFonts w:ascii="宋体" w:hAnsi="宋体" w:cs="宋体"/>
          <w:szCs w:val="21"/>
        </w:rPr>
      </w:pPr>
      <w:r>
        <w:rPr>
          <w:rFonts w:hint="eastAsia" w:ascii="宋体" w:hAnsi="宋体" w:cs="宋体"/>
          <w:color w:val="auto"/>
          <w:szCs w:val="21"/>
        </w:rPr>
        <w:t>④ 以上范围共94台空调</w:t>
      </w:r>
      <w:r>
        <w:rPr>
          <w:rFonts w:hint="eastAsia" w:ascii="宋体" w:hAnsi="宋体" w:cs="宋体"/>
          <w:szCs w:val="21"/>
        </w:rPr>
        <w:t>风柜机组，10套冷热源系统以及配套的</w:t>
      </w:r>
      <w:bookmarkStart w:id="12" w:name="_Hlk74836015"/>
      <w:r>
        <w:rPr>
          <w:rFonts w:hint="eastAsia" w:ascii="宋体" w:hAnsi="宋体" w:cs="宋体"/>
          <w:szCs w:val="21"/>
        </w:rPr>
        <w:t>自动门、</w:t>
      </w:r>
      <w:bookmarkEnd w:id="12"/>
      <w:r>
        <w:rPr>
          <w:rFonts w:hint="eastAsia" w:ascii="宋体" w:hAnsi="宋体" w:cs="宋体"/>
          <w:szCs w:val="21"/>
        </w:rPr>
        <w:t>配电柜、自控柜、自动门、照明、弱电、空调水、给排水等。</w:t>
      </w:r>
    </w:p>
    <w:p w14:paraId="637ED221">
      <w:pPr>
        <w:spacing w:line="360" w:lineRule="auto"/>
        <w:ind w:firstLine="422" w:firstLineChars="200"/>
        <w:outlineLvl w:val="1"/>
        <w:rPr>
          <w:rFonts w:ascii="宋体" w:hAnsi="宋体" w:cs="宋体"/>
          <w:szCs w:val="21"/>
        </w:rPr>
      </w:pPr>
      <w:r>
        <w:rPr>
          <w:rFonts w:hint="eastAsia" w:ascii="宋体" w:hAnsi="宋体" w:cs="宋体"/>
          <w:b/>
          <w:bCs/>
          <w:szCs w:val="21"/>
        </w:rPr>
        <w:t>龙华院区：</w:t>
      </w:r>
    </w:p>
    <w:p w14:paraId="3C7F5EE2">
      <w:pPr>
        <w:spacing w:line="360" w:lineRule="auto"/>
        <w:ind w:firstLine="420" w:firstLineChars="200"/>
        <w:outlineLvl w:val="1"/>
        <w:rPr>
          <w:rFonts w:ascii="宋体" w:hAnsi="宋体" w:cs="宋体"/>
          <w:szCs w:val="21"/>
        </w:rPr>
      </w:pPr>
      <w:r>
        <w:rPr>
          <w:rFonts w:hint="eastAsia" w:ascii="宋体" w:hAnsi="宋体" w:cs="宋体"/>
          <w:szCs w:val="21"/>
        </w:rPr>
        <w:t>病理科PCR、检验科PCR、中心供应室、日间手术室、手术室、ICU、NICU、静脉配置、内镜中心、血液层流病房等。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1943"/>
        <w:gridCol w:w="3307"/>
      </w:tblGrid>
      <w:tr w14:paraId="65E1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3242" w:type="dxa"/>
          </w:tcPr>
          <w:p w14:paraId="05FD3FF5">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设备名称</w:t>
            </w:r>
          </w:p>
        </w:tc>
        <w:tc>
          <w:tcPr>
            <w:tcW w:w="1943" w:type="dxa"/>
          </w:tcPr>
          <w:p w14:paraId="614ED96F">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数量（台）</w:t>
            </w:r>
          </w:p>
        </w:tc>
        <w:tc>
          <w:tcPr>
            <w:tcW w:w="3307" w:type="dxa"/>
          </w:tcPr>
          <w:p w14:paraId="7366D648">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位置</w:t>
            </w:r>
          </w:p>
        </w:tc>
      </w:tr>
      <w:tr w14:paraId="30E2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7CFB6D9E">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新风机组</w:t>
            </w:r>
          </w:p>
        </w:tc>
        <w:tc>
          <w:tcPr>
            <w:tcW w:w="1943" w:type="dxa"/>
          </w:tcPr>
          <w:p w14:paraId="2E406D80">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25</w:t>
            </w:r>
          </w:p>
        </w:tc>
        <w:tc>
          <w:tcPr>
            <w:tcW w:w="3307" w:type="dxa"/>
          </w:tcPr>
          <w:p w14:paraId="20C32E36">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设备层</w:t>
            </w:r>
          </w:p>
        </w:tc>
      </w:tr>
      <w:tr w14:paraId="64C1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3D832EB3">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循环机组</w:t>
            </w:r>
          </w:p>
        </w:tc>
        <w:tc>
          <w:tcPr>
            <w:tcW w:w="1943" w:type="dxa"/>
          </w:tcPr>
          <w:p w14:paraId="167469D0">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58</w:t>
            </w:r>
          </w:p>
        </w:tc>
        <w:tc>
          <w:tcPr>
            <w:tcW w:w="3307" w:type="dxa"/>
          </w:tcPr>
          <w:p w14:paraId="1A5AF098">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设备层</w:t>
            </w:r>
          </w:p>
        </w:tc>
      </w:tr>
      <w:tr w14:paraId="166F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41F2FA53">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排风机</w:t>
            </w:r>
          </w:p>
        </w:tc>
        <w:tc>
          <w:tcPr>
            <w:tcW w:w="1943" w:type="dxa"/>
          </w:tcPr>
          <w:p w14:paraId="100CB1DE">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157</w:t>
            </w:r>
          </w:p>
        </w:tc>
        <w:tc>
          <w:tcPr>
            <w:tcW w:w="3307" w:type="dxa"/>
          </w:tcPr>
          <w:p w14:paraId="4684B9D1">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设备层、天花夹层</w:t>
            </w:r>
          </w:p>
        </w:tc>
      </w:tr>
      <w:tr w14:paraId="5971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0568490F">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风机盘管</w:t>
            </w:r>
          </w:p>
        </w:tc>
        <w:tc>
          <w:tcPr>
            <w:tcW w:w="1943" w:type="dxa"/>
          </w:tcPr>
          <w:p w14:paraId="6A137AE9">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11</w:t>
            </w:r>
          </w:p>
        </w:tc>
        <w:tc>
          <w:tcPr>
            <w:tcW w:w="3307" w:type="dxa"/>
          </w:tcPr>
          <w:p w14:paraId="64BAFD36">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各科室</w:t>
            </w:r>
          </w:p>
        </w:tc>
      </w:tr>
      <w:tr w14:paraId="13D7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263F544A">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深度除湿机组</w:t>
            </w:r>
          </w:p>
        </w:tc>
        <w:tc>
          <w:tcPr>
            <w:tcW w:w="1943" w:type="dxa"/>
          </w:tcPr>
          <w:p w14:paraId="4E0403DF">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11</w:t>
            </w:r>
          </w:p>
        </w:tc>
        <w:tc>
          <w:tcPr>
            <w:tcW w:w="3307" w:type="dxa"/>
          </w:tcPr>
          <w:p w14:paraId="304D9303">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设备层</w:t>
            </w:r>
          </w:p>
        </w:tc>
      </w:tr>
      <w:tr w14:paraId="473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35FE4B4E">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风冷冷热水螺杆主机</w:t>
            </w:r>
          </w:p>
        </w:tc>
        <w:tc>
          <w:tcPr>
            <w:tcW w:w="1943" w:type="dxa"/>
          </w:tcPr>
          <w:p w14:paraId="7861D2C0">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5</w:t>
            </w:r>
          </w:p>
        </w:tc>
        <w:tc>
          <w:tcPr>
            <w:tcW w:w="3307" w:type="dxa"/>
          </w:tcPr>
          <w:p w14:paraId="4B501485">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天面</w:t>
            </w:r>
          </w:p>
        </w:tc>
      </w:tr>
      <w:tr w14:paraId="49A0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7B3F9BCF">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循环水泵</w:t>
            </w:r>
          </w:p>
        </w:tc>
        <w:tc>
          <w:tcPr>
            <w:tcW w:w="1943" w:type="dxa"/>
          </w:tcPr>
          <w:p w14:paraId="4F0DA625">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7</w:t>
            </w:r>
          </w:p>
        </w:tc>
        <w:tc>
          <w:tcPr>
            <w:tcW w:w="3307" w:type="dxa"/>
          </w:tcPr>
          <w:p w14:paraId="13523031">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天面</w:t>
            </w:r>
          </w:p>
        </w:tc>
      </w:tr>
      <w:tr w14:paraId="6262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0D8FC018">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中央控制屏</w:t>
            </w:r>
          </w:p>
        </w:tc>
        <w:tc>
          <w:tcPr>
            <w:tcW w:w="1943" w:type="dxa"/>
          </w:tcPr>
          <w:p w14:paraId="6BB55E7C">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26</w:t>
            </w:r>
          </w:p>
        </w:tc>
        <w:tc>
          <w:tcPr>
            <w:tcW w:w="3307" w:type="dxa"/>
          </w:tcPr>
          <w:p w14:paraId="08EB2C4C">
            <w:pPr>
              <w:spacing w:before="78" w:beforeLines="25" w:after="78" w:afterLines="25"/>
              <w:jc w:val="center"/>
              <w:rPr>
                <w:rFonts w:ascii="宋体" w:hAnsi="宋体" w:cs="宋体"/>
                <w:snapToGrid w:val="0"/>
                <w:szCs w:val="21"/>
              </w:rPr>
            </w:pPr>
            <w:r>
              <w:rPr>
                <w:rFonts w:hint="eastAsia" w:ascii="宋体" w:hAnsi="宋体" w:cs="宋体"/>
                <w:snapToGrid w:val="0"/>
                <w:szCs w:val="21"/>
              </w:rPr>
              <w:t>手术室</w:t>
            </w:r>
          </w:p>
        </w:tc>
      </w:tr>
      <w:tr w14:paraId="78DF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42" w:type="dxa"/>
          </w:tcPr>
          <w:p w14:paraId="0B9A1B9F">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温湿度情报面板</w:t>
            </w:r>
          </w:p>
        </w:tc>
        <w:tc>
          <w:tcPr>
            <w:tcW w:w="1943" w:type="dxa"/>
          </w:tcPr>
          <w:p w14:paraId="3FE94AC4">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17</w:t>
            </w:r>
          </w:p>
        </w:tc>
        <w:tc>
          <w:tcPr>
            <w:tcW w:w="3307" w:type="dxa"/>
          </w:tcPr>
          <w:p w14:paraId="6E5161C2">
            <w:pPr>
              <w:spacing w:before="78" w:beforeLines="25" w:after="78" w:afterLines="25"/>
              <w:jc w:val="center"/>
              <w:rPr>
                <w:rFonts w:ascii="宋体" w:hAnsi="宋体" w:cs="宋体"/>
                <w:snapToGrid w:val="0"/>
                <w:szCs w:val="21"/>
              </w:rPr>
            </w:pPr>
            <w:r>
              <w:rPr>
                <w:rFonts w:hint="eastAsia" w:ascii="宋体" w:hAnsi="宋体" w:cs="宋体"/>
                <w:snapToGrid w:val="0"/>
                <w:szCs w:val="21"/>
              </w:rPr>
              <w:t>各科室</w:t>
            </w:r>
          </w:p>
        </w:tc>
      </w:tr>
      <w:tr w14:paraId="2E15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242" w:type="dxa"/>
          </w:tcPr>
          <w:p w14:paraId="3DCC4F7D">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电动门</w:t>
            </w:r>
          </w:p>
        </w:tc>
        <w:tc>
          <w:tcPr>
            <w:tcW w:w="1943" w:type="dxa"/>
          </w:tcPr>
          <w:p w14:paraId="44144FD4">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42</w:t>
            </w:r>
          </w:p>
        </w:tc>
        <w:tc>
          <w:tcPr>
            <w:tcW w:w="3307" w:type="dxa"/>
          </w:tcPr>
          <w:p w14:paraId="5C5B7CD3">
            <w:pPr>
              <w:spacing w:before="78" w:beforeLines="25" w:after="78" w:afterLines="25"/>
              <w:jc w:val="center"/>
              <w:rPr>
                <w:rFonts w:ascii="宋体" w:hAnsi="宋体" w:cs="宋体"/>
                <w:snapToGrid w:val="0"/>
                <w:szCs w:val="21"/>
              </w:rPr>
            </w:pPr>
            <w:r>
              <w:rPr>
                <w:rFonts w:hint="eastAsia" w:ascii="宋体" w:hAnsi="宋体" w:cs="宋体"/>
                <w:snapToGrid w:val="0"/>
                <w:szCs w:val="21"/>
              </w:rPr>
              <w:t>各科室</w:t>
            </w:r>
          </w:p>
        </w:tc>
      </w:tr>
      <w:tr w14:paraId="59EC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242" w:type="dxa"/>
          </w:tcPr>
          <w:p w14:paraId="369C5904">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自控柜</w:t>
            </w:r>
          </w:p>
        </w:tc>
        <w:tc>
          <w:tcPr>
            <w:tcW w:w="1943" w:type="dxa"/>
          </w:tcPr>
          <w:p w14:paraId="3A4EFE15">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88</w:t>
            </w:r>
          </w:p>
        </w:tc>
        <w:tc>
          <w:tcPr>
            <w:tcW w:w="3307" w:type="dxa"/>
          </w:tcPr>
          <w:p w14:paraId="03B2266B">
            <w:pPr>
              <w:pStyle w:val="9"/>
              <w:spacing w:before="78" w:beforeLines="25" w:after="78" w:afterLines="25"/>
              <w:ind w:firstLine="0"/>
              <w:jc w:val="center"/>
              <w:rPr>
                <w:rFonts w:ascii="宋体" w:hAnsi="宋体" w:cs="宋体"/>
                <w:snapToGrid w:val="0"/>
                <w:sz w:val="21"/>
                <w:szCs w:val="21"/>
              </w:rPr>
            </w:pPr>
            <w:r>
              <w:rPr>
                <w:rFonts w:hint="eastAsia" w:ascii="宋体" w:hAnsi="宋体" w:cs="宋体"/>
                <w:snapToGrid w:val="0"/>
                <w:sz w:val="21"/>
                <w:szCs w:val="21"/>
              </w:rPr>
              <w:t>设备层</w:t>
            </w:r>
          </w:p>
        </w:tc>
      </w:tr>
    </w:tbl>
    <w:p w14:paraId="6806DF6F">
      <w:pPr>
        <w:spacing w:line="360" w:lineRule="auto"/>
        <w:ind w:firstLine="422" w:firstLineChars="200"/>
        <w:outlineLvl w:val="1"/>
        <w:rPr>
          <w:rFonts w:ascii="宋体" w:hAnsi="宋体" w:cs="宋体"/>
          <w:b/>
          <w:bCs/>
          <w:szCs w:val="21"/>
        </w:rPr>
      </w:pPr>
      <w:r>
        <w:rPr>
          <w:rFonts w:hint="eastAsia" w:ascii="宋体" w:hAnsi="宋体" w:cs="宋体"/>
          <w:b/>
          <w:bCs/>
          <w:szCs w:val="21"/>
        </w:rPr>
        <w:t>2.维护维修内容</w:t>
      </w:r>
    </w:p>
    <w:p w14:paraId="761E609D">
      <w:pPr>
        <w:spacing w:line="360" w:lineRule="auto"/>
        <w:ind w:firstLine="420" w:firstLineChars="200"/>
        <w:rPr>
          <w:rFonts w:ascii="宋体" w:hAnsi="宋体" w:cs="宋体"/>
          <w:szCs w:val="21"/>
        </w:rPr>
      </w:pPr>
      <w:r>
        <w:rPr>
          <w:rFonts w:hint="eastAsia" w:ascii="宋体" w:hAnsi="宋体" w:cs="宋体"/>
          <w:szCs w:val="21"/>
        </w:rPr>
        <w:t>① 装饰部分：照明、气密门、自动门、刷手池等。</w:t>
      </w:r>
    </w:p>
    <w:p w14:paraId="774791C2">
      <w:pPr>
        <w:spacing w:line="360" w:lineRule="auto"/>
        <w:ind w:firstLine="420" w:firstLineChars="200"/>
        <w:rPr>
          <w:rFonts w:ascii="宋体" w:hAnsi="宋体" w:cs="宋体"/>
          <w:szCs w:val="21"/>
        </w:rPr>
      </w:pPr>
      <w:r>
        <w:rPr>
          <w:rFonts w:hint="eastAsia" w:ascii="宋体" w:hAnsi="宋体" w:cs="宋体"/>
          <w:szCs w:val="21"/>
        </w:rPr>
        <w:t>② 暖通部分：净化空调机组、排风机、消毒机、风系统、空调水系统、加湿器、电动排风阀等。</w:t>
      </w:r>
    </w:p>
    <w:p w14:paraId="7DECB34D">
      <w:pPr>
        <w:spacing w:line="360" w:lineRule="auto"/>
        <w:ind w:firstLine="420" w:firstLineChars="200"/>
        <w:rPr>
          <w:rFonts w:ascii="宋体" w:hAnsi="宋体" w:cs="宋体"/>
          <w:szCs w:val="21"/>
        </w:rPr>
      </w:pPr>
      <w:r>
        <w:rPr>
          <w:rFonts w:hint="eastAsia" w:ascii="宋体" w:hAnsi="宋体" w:cs="宋体"/>
          <w:szCs w:val="21"/>
        </w:rPr>
        <w:t>③ 电气部分：</w:t>
      </w:r>
      <w:bookmarkStart w:id="13" w:name="_Hlk74835973"/>
      <w:r>
        <w:rPr>
          <w:rFonts w:hint="eastAsia" w:ascii="宋体" w:hAnsi="宋体" w:cs="宋体"/>
          <w:szCs w:val="21"/>
        </w:rPr>
        <w:t>配电柜、自控柜、</w:t>
      </w:r>
      <w:bookmarkEnd w:id="13"/>
      <w:r>
        <w:rPr>
          <w:rFonts w:hint="eastAsia" w:ascii="宋体" w:hAnsi="宋体" w:cs="宋体"/>
          <w:szCs w:val="21"/>
        </w:rPr>
        <w:t>情报面板、远程控制屏、背景音乐、呼叫对讲等。</w:t>
      </w:r>
    </w:p>
    <w:p w14:paraId="14A6C2F0">
      <w:pPr>
        <w:autoSpaceDE w:val="0"/>
        <w:autoSpaceDN w:val="0"/>
        <w:adjustRightInd w:val="0"/>
        <w:spacing w:line="360" w:lineRule="auto"/>
        <w:ind w:firstLine="424" w:firstLineChars="176"/>
        <w:jc w:val="left"/>
        <w:rPr>
          <w:rFonts w:ascii="仿宋_GB2312" w:hAnsi="Times New Roman" w:eastAsia="仿宋_GB2312"/>
          <w:b/>
          <w:sz w:val="24"/>
          <w:szCs w:val="24"/>
        </w:rPr>
      </w:pPr>
      <w:r>
        <w:rPr>
          <w:rFonts w:hint="eastAsia" w:ascii="仿宋_GB2312" w:hAnsi="Times New Roman" w:eastAsia="仿宋_GB2312"/>
          <w:b/>
          <w:sz w:val="24"/>
          <w:szCs w:val="24"/>
        </w:rPr>
        <w:t>备注：</w:t>
      </w:r>
    </w:p>
    <w:p w14:paraId="603E6F07">
      <w:pPr>
        <w:autoSpaceDE w:val="0"/>
        <w:autoSpaceDN w:val="0"/>
        <w:adjustRightInd w:val="0"/>
        <w:spacing w:line="360" w:lineRule="auto"/>
        <w:ind w:firstLine="424" w:firstLineChars="176"/>
        <w:jc w:val="left"/>
        <w:rPr>
          <w:rFonts w:ascii="仿宋_GB2312" w:hAnsi="Times New Roman" w:eastAsia="仿宋_GB2312"/>
          <w:b/>
          <w:sz w:val="24"/>
          <w:szCs w:val="24"/>
        </w:rPr>
      </w:pPr>
      <w:r>
        <w:rPr>
          <w:rFonts w:hint="eastAsia" w:ascii="仿宋_GB2312" w:hAnsi="Times New Roman" w:eastAsia="仿宋_GB2312"/>
          <w:b/>
          <w:sz w:val="24"/>
          <w:szCs w:val="24"/>
        </w:rPr>
        <w:t>1、本项目需求中出现的工艺、材料、设备或参照的品牌等仅为方便描述而没有限制性，投标人可以在其提供的文件资料中选用替代标准，但这些替代标准要优于或相当于项目需求中要求的标准。</w:t>
      </w:r>
    </w:p>
    <w:p w14:paraId="62825259">
      <w:pPr>
        <w:autoSpaceDE w:val="0"/>
        <w:autoSpaceDN w:val="0"/>
        <w:adjustRightInd w:val="0"/>
        <w:spacing w:line="360" w:lineRule="auto"/>
        <w:ind w:firstLine="424" w:firstLineChars="176"/>
        <w:jc w:val="left"/>
        <w:rPr>
          <w:rFonts w:ascii="仿宋_GB2312" w:hAnsi="Times New Roman" w:eastAsia="仿宋_GB2312"/>
          <w:b/>
          <w:sz w:val="24"/>
          <w:szCs w:val="24"/>
        </w:rPr>
      </w:pPr>
      <w:r>
        <w:rPr>
          <w:rFonts w:hint="eastAsia" w:ascii="仿宋_GB2312" w:hAnsi="Times New Roman" w:eastAsia="仿宋_GB2312"/>
          <w:b/>
          <w:sz w:val="24"/>
          <w:szCs w:val="24"/>
        </w:rPr>
        <w:t>2、如要求提供证明材料，投标文件需提供相应证明材料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62073348">
      <w:pPr>
        <w:autoSpaceDE w:val="0"/>
        <w:autoSpaceDN w:val="0"/>
        <w:adjustRightInd w:val="0"/>
        <w:spacing w:line="360" w:lineRule="auto"/>
        <w:ind w:firstLine="424" w:firstLineChars="176"/>
        <w:jc w:val="left"/>
        <w:rPr>
          <w:rFonts w:ascii="仿宋_GB2312" w:hAnsi="Times New Roman" w:eastAsia="仿宋_GB2312"/>
          <w:b/>
          <w:sz w:val="24"/>
          <w:szCs w:val="24"/>
        </w:rPr>
      </w:pPr>
      <w:r>
        <w:rPr>
          <w:rFonts w:hint="eastAsia" w:ascii="仿宋_GB2312" w:hAnsi="Times New Roman" w:eastAsia="仿宋_GB2312"/>
          <w:b/>
          <w:sz w:val="24"/>
          <w:szCs w:val="24"/>
        </w:rPr>
        <w:t>3、投标供应商提供证书或检测报告等证明材料的，颁发证书、出具报告的机构须是合法设立的机构，且具有颁发相应证书或者出具相应报告的资质。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24" w:firstLineChars="176"/>
        <w:jc w:val="left"/>
        <w:rPr>
          <w:rFonts w:ascii="仿宋_GB2312" w:hAnsi="Times New Roman" w:eastAsia="仿宋_GB2312"/>
          <w:b/>
          <w:color w:val="FF0000"/>
          <w:sz w:val="24"/>
          <w:szCs w:val="24"/>
        </w:rPr>
      </w:pPr>
      <w:r>
        <w:rPr>
          <w:rFonts w:hint="eastAsia" w:ascii="仿宋_GB2312" w:hAnsi="Times New Roman" w:eastAsia="仿宋_GB2312"/>
          <w:b/>
          <w:color w:val="FF0000"/>
          <w:sz w:val="24"/>
          <w:szCs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1EE71C2D">
      <w:pPr>
        <w:autoSpaceDE w:val="0"/>
        <w:autoSpaceDN w:val="0"/>
        <w:adjustRightInd w:val="0"/>
        <w:spacing w:line="360" w:lineRule="auto"/>
        <w:ind w:firstLine="424" w:firstLineChars="176"/>
        <w:jc w:val="left"/>
        <w:rPr>
          <w:rFonts w:ascii="仿宋_GB2312" w:hAnsi="Times New Roman" w:eastAsia="仿宋_GB2312"/>
          <w:b/>
          <w:sz w:val="24"/>
          <w:szCs w:val="24"/>
        </w:rPr>
      </w:pPr>
      <w:r>
        <w:rPr>
          <w:rFonts w:hint="eastAsia" w:ascii="仿宋_GB2312" w:hAnsi="Times New Roman" w:eastAsia="仿宋_GB2312"/>
          <w:b/>
          <w:sz w:val="24"/>
          <w:szCs w:val="24"/>
          <w:highlight w:val="yellow"/>
        </w:rPr>
        <w:t>4、加注★的条款为不可负偏离的实质性条款，任一项未响应或不满足要求的，将导致投标无效。</w:t>
      </w:r>
    </w:p>
    <w:p w14:paraId="289BEAEA">
      <w:pPr>
        <w:keepNext/>
        <w:keepLines/>
        <w:adjustRightInd w:val="0"/>
        <w:spacing w:before="156" w:beforeLines="50" w:after="156" w:afterLines="50"/>
        <w:jc w:val="center"/>
        <w:textAlignment w:val="baseline"/>
        <w:outlineLvl w:val="1"/>
        <w:rPr>
          <w:rFonts w:ascii="宋体" w:hAnsi="宋体"/>
          <w:b/>
          <w:bCs/>
          <w:kern w:val="0"/>
          <w:sz w:val="28"/>
          <w:szCs w:val="28"/>
        </w:rPr>
      </w:pPr>
      <w:r>
        <w:rPr>
          <w:rFonts w:hint="eastAsia" w:ascii="宋体" w:hAnsi="宋体"/>
          <w:b/>
          <w:bCs/>
          <w:kern w:val="0"/>
          <w:sz w:val="28"/>
          <w:szCs w:val="28"/>
        </w:rPr>
        <w:t>四、项目服务要求</w:t>
      </w:r>
    </w:p>
    <w:p w14:paraId="76D81815">
      <w:pPr>
        <w:numPr>
          <w:ilvl w:val="255"/>
          <w:numId w:val="0"/>
        </w:numPr>
        <w:spacing w:line="360" w:lineRule="auto"/>
        <w:ind w:firstLine="422" w:firstLineChars="200"/>
        <w:outlineLvl w:val="1"/>
        <w:rPr>
          <w:rFonts w:ascii="宋体" w:hAnsi="宋体" w:cs="宋体"/>
          <w:szCs w:val="21"/>
        </w:rPr>
      </w:pPr>
      <w:r>
        <w:rPr>
          <w:rFonts w:hint="eastAsia" w:ascii="宋体" w:hAnsi="宋体" w:cs="宋体"/>
          <w:b/>
          <w:bCs/>
          <w:szCs w:val="21"/>
        </w:rPr>
        <w:t>（一）技术服务要求：</w:t>
      </w:r>
    </w:p>
    <w:p w14:paraId="6E7AA084">
      <w:pPr>
        <w:spacing w:line="360" w:lineRule="auto"/>
        <w:ind w:firstLine="424" w:firstLineChars="202"/>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净化空调系统及配套设施的维护保养达到原设计、使用的效果。一旦因维护、保养不到位，导致发生意外并造成损失（经第三方权威部门鉴定为保养不善造成）将由投标人承担由此带来的一切经济和法律责任。</w:t>
      </w:r>
    </w:p>
    <w:p w14:paraId="3C02544B">
      <w:pPr>
        <w:spacing w:line="360" w:lineRule="auto"/>
        <w:ind w:firstLine="424" w:firstLineChars="202"/>
        <w:rPr>
          <w:rFonts w:ascii="宋体" w:hAnsi="宋体" w:cs="宋体"/>
          <w:b/>
          <w:bCs/>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人需每月进行一次全面的检查和保养，并出具《检查、保养月度报告》，提交给采购人存档保存，同时对发现问题及时提出整改意见、维修方案、预算等，以便采购人及时处理。具有随时发现和解决问题的能力，确保设备运行状况良好。</w:t>
      </w:r>
    </w:p>
    <w:p w14:paraId="303D9A8A">
      <w:pPr>
        <w:spacing w:line="360" w:lineRule="auto"/>
        <w:ind w:firstLine="422" w:firstLineChars="200"/>
        <w:outlineLvl w:val="1"/>
        <w:rPr>
          <w:rFonts w:ascii="宋体" w:hAnsi="宋体" w:cs="宋体"/>
          <w:b/>
          <w:bCs/>
          <w:szCs w:val="21"/>
        </w:rPr>
      </w:pPr>
      <w:r>
        <w:rPr>
          <w:rFonts w:hint="eastAsia" w:ascii="宋体" w:hAnsi="宋体" w:cs="宋体"/>
          <w:b/>
          <w:bCs/>
          <w:szCs w:val="21"/>
        </w:rPr>
        <w:t xml:space="preserve">（二）维保服务要求: </w:t>
      </w:r>
    </w:p>
    <w:p w14:paraId="68D72EAA">
      <w:pPr>
        <w:spacing w:line="360" w:lineRule="auto"/>
        <w:ind w:firstLine="420" w:firstLineChars="200"/>
        <w:rPr>
          <w:rFonts w:ascii="宋体" w:hAnsi="宋体" w:cs="宋体"/>
          <w:b/>
          <w:bCs/>
          <w:szCs w:val="21"/>
          <w:highlight w:val="yellow"/>
        </w:rPr>
      </w:pPr>
      <w:r>
        <w:rPr>
          <w:rFonts w:hint="eastAsia" w:ascii="宋体" w:hAnsi="宋体" w:cs="宋体"/>
          <w:szCs w:val="21"/>
        </w:rPr>
        <w:t>▲</w:t>
      </w:r>
      <w:r>
        <w:rPr>
          <w:rFonts w:ascii="宋体" w:hAnsi="宋体" w:cs="宋体"/>
          <w:szCs w:val="21"/>
        </w:rPr>
        <w:t>1</w:t>
      </w:r>
      <w:r>
        <w:rPr>
          <w:rFonts w:hint="eastAsia" w:ascii="宋体" w:hAnsi="宋体" w:cs="宋体"/>
          <w:szCs w:val="21"/>
        </w:rPr>
        <w:t>.维修人员严格遵循《医院洁净手术部建筑技术规范（GB50333-2013）》和《医院空气净化管理规范（WS/T368)》的要求，进行检查保养并做好记录。</w:t>
      </w:r>
    </w:p>
    <w:p w14:paraId="17027319">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b/>
          <w:bCs/>
          <w:szCs w:val="21"/>
        </w:rPr>
        <w:t>.</w:t>
      </w:r>
      <w:r>
        <w:rPr>
          <w:rFonts w:hint="eastAsia" w:ascii="宋体" w:hAnsi="宋体" w:cs="宋体"/>
          <w:szCs w:val="21"/>
        </w:rPr>
        <w:t>每日工作内容：①洁净区各项技术指标记录（温度、湿度、压差等）检查记录；②维保范围内空气消毒机、照明、自动门、气密门检查；③设备层风柜巡视，主要内容：冷凝水系统、冷冻水系统、风管系统、电气系统，并做好巡视记录；④日常的故障维修处理。</w:t>
      </w:r>
    </w:p>
    <w:p w14:paraId="5C4119FB">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b/>
          <w:bCs/>
          <w:szCs w:val="21"/>
        </w:rPr>
        <w:t>.</w:t>
      </w:r>
      <w:r>
        <w:rPr>
          <w:rFonts w:hint="eastAsia" w:ascii="宋体" w:hAnsi="宋体" w:cs="宋体"/>
          <w:szCs w:val="21"/>
        </w:rPr>
        <w:t>每周工作内容：①完成每日的工作内容；②每周清洗一次净化区域的回风口过滤网；③机组风柜检查，主要内容：水系统、风系统、控制柜、机组卫生和运行状态等。</w:t>
      </w:r>
    </w:p>
    <w:p w14:paraId="606EF6BD">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b/>
          <w:bCs/>
          <w:szCs w:val="21"/>
        </w:rPr>
        <w:t>.</w:t>
      </w:r>
      <w:r>
        <w:rPr>
          <w:rFonts w:hint="eastAsia" w:ascii="宋体" w:hAnsi="宋体" w:cs="宋体"/>
          <w:szCs w:val="21"/>
        </w:rPr>
        <w:t>每月工作内容：①完成每日、每周的工作内容；②更换新风机组初效过滤器，并检查所有初、中效过滤器，对堵塞的滤网进行更换；③检查风机轴承、皮带、马达轴承、温度和紧固件；④检查自控系统的有效性，测试保护开关灵敏性，检测自控系统的运行情况，检查电气系统控制元器件的运行情况；⑤对净化工程系统进行例行保养，包括：装饰部分、暖通部分、电气部分、医气部分等；⑥制定耗材的采购计划。</w:t>
      </w:r>
    </w:p>
    <w:p w14:paraId="5EAAF9F0">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b/>
          <w:bCs/>
          <w:szCs w:val="21"/>
        </w:rPr>
        <w:t>.</w:t>
      </w:r>
      <w:r>
        <w:rPr>
          <w:rFonts w:hint="eastAsia" w:ascii="宋体" w:hAnsi="宋体" w:cs="宋体"/>
          <w:szCs w:val="21"/>
        </w:rPr>
        <w:t>每季度工作内容：①完成每日、每周、每月的工作；②配合医院进行细菌培养的检测；③检查和保养空气消毒机并做好记录；④清洁高效出风口；⑤更换新风机组中效过滤器、更换循环机组初效过滤器；⑥培训净化系统的相关知识。</w:t>
      </w:r>
    </w:p>
    <w:p w14:paraId="468F37B4">
      <w:pPr>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b/>
          <w:bCs/>
          <w:szCs w:val="21"/>
        </w:rPr>
        <w:t>.</w:t>
      </w:r>
      <w:r>
        <w:rPr>
          <w:rFonts w:hint="eastAsia" w:ascii="宋体" w:hAnsi="宋体" w:cs="宋体"/>
          <w:szCs w:val="21"/>
        </w:rPr>
        <w:t>投标人应提供精心日常管理、维修保养，严格按维保内容要求及安全操作规程履行定期维修、保养义务，认真填写巡检、维修、保养记录并提交采购人确认，接受采购人的检查监督，并保证净化空调系统安全正常运行。</w:t>
      </w:r>
    </w:p>
    <w:p w14:paraId="01C76F4A">
      <w:pPr>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b/>
          <w:bCs/>
          <w:szCs w:val="21"/>
        </w:rPr>
        <w:t>.</w:t>
      </w:r>
      <w:r>
        <w:rPr>
          <w:rFonts w:hint="eastAsia" w:ascii="宋体" w:hAnsi="宋体" w:cs="宋体"/>
          <w:szCs w:val="21"/>
        </w:rPr>
        <w:t>新风机组粗效过滤网每2天检查并清洁一次；粗效过滤器1-2个月更换一次；中效过滤器每周检查，3个月更换一次；亚高效过滤器每年更换一次；发现污染和堵塞及时更换。</w:t>
      </w:r>
    </w:p>
    <w:p w14:paraId="383337AE">
      <w:pPr>
        <w:spacing w:line="360" w:lineRule="auto"/>
        <w:ind w:firstLine="420" w:firstLineChars="200"/>
        <w:rPr>
          <w:rFonts w:ascii="宋体" w:hAnsi="宋体" w:cs="宋体"/>
          <w:szCs w:val="21"/>
        </w:rPr>
      </w:pPr>
      <w:r>
        <w:rPr>
          <w:rFonts w:ascii="宋体" w:hAnsi="宋体" w:cs="宋体"/>
          <w:szCs w:val="21"/>
        </w:rPr>
        <w:t>8</w:t>
      </w:r>
      <w:r>
        <w:rPr>
          <w:rFonts w:hint="eastAsia" w:ascii="宋体" w:hAnsi="宋体" w:cs="宋体"/>
          <w:b/>
          <w:bCs/>
          <w:szCs w:val="21"/>
        </w:rPr>
        <w:t>.</w:t>
      </w:r>
      <w:r>
        <w:rPr>
          <w:rFonts w:hint="eastAsia" w:ascii="宋体" w:hAnsi="宋体" w:cs="宋体"/>
          <w:bCs/>
          <w:szCs w:val="21"/>
        </w:rPr>
        <w:t>空气处理机组（循环机组）</w:t>
      </w:r>
      <w:r>
        <w:rPr>
          <w:rFonts w:hint="eastAsia" w:ascii="宋体" w:hAnsi="宋体" w:cs="宋体"/>
          <w:szCs w:val="21"/>
        </w:rPr>
        <w:t>粗效过滤器每月检查一次，3个月更换一次；中效过滤器每月检查，</w:t>
      </w:r>
      <w:bookmarkStart w:id="14" w:name="_Hlk71704046"/>
      <w:r>
        <w:rPr>
          <w:rFonts w:hint="eastAsia" w:ascii="宋体" w:hAnsi="宋体" w:cs="宋体"/>
          <w:szCs w:val="21"/>
        </w:rPr>
        <w:t>6个月更换一次</w:t>
      </w:r>
      <w:bookmarkEnd w:id="14"/>
      <w:r>
        <w:rPr>
          <w:rFonts w:hint="eastAsia" w:ascii="宋体" w:hAnsi="宋体" w:cs="宋体"/>
          <w:szCs w:val="21"/>
        </w:rPr>
        <w:t>；发现污染和堵塞及时更换。</w:t>
      </w:r>
    </w:p>
    <w:p w14:paraId="6F6CADC1">
      <w:pPr>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b/>
          <w:bCs/>
          <w:szCs w:val="21"/>
        </w:rPr>
        <w:t>.</w:t>
      </w:r>
      <w:r>
        <w:rPr>
          <w:rFonts w:hint="eastAsia" w:ascii="宋体" w:hAnsi="宋体" w:cs="宋体"/>
          <w:szCs w:val="21"/>
        </w:rPr>
        <w:t>自取新风空气处理机组（循环机组）粗效过滤每月检查，2个月更换一次。中效过滤器每月检查，4个月更换一次；发现污染和堵塞及时更换。</w:t>
      </w:r>
    </w:p>
    <w:p w14:paraId="218CA1B2">
      <w:pPr>
        <w:spacing w:line="360" w:lineRule="auto"/>
        <w:ind w:firstLine="420" w:firstLineChars="200"/>
        <w:rPr>
          <w:rFonts w:ascii="宋体" w:hAnsi="宋体" w:cs="宋体"/>
          <w:szCs w:val="21"/>
        </w:rPr>
      </w:pPr>
      <w:r>
        <w:rPr>
          <w:rFonts w:ascii="宋体" w:hAnsi="宋体" w:cs="宋体"/>
          <w:szCs w:val="21"/>
        </w:rPr>
        <w:t>10</w:t>
      </w:r>
      <w:r>
        <w:rPr>
          <w:rFonts w:hint="eastAsia" w:ascii="宋体" w:hAnsi="宋体" w:cs="宋体"/>
          <w:b/>
          <w:bCs/>
          <w:szCs w:val="21"/>
        </w:rPr>
        <w:t>.</w:t>
      </w:r>
      <w:r>
        <w:rPr>
          <w:rFonts w:hint="eastAsia" w:ascii="宋体" w:hAnsi="宋体" w:cs="宋体"/>
          <w:szCs w:val="21"/>
        </w:rPr>
        <w:t>末端高效过滤器每年检查一次，当阻尼超过设计阻力160Pa或已使用3年或以上，进行更换。</w:t>
      </w:r>
    </w:p>
    <w:p w14:paraId="46DDACF4">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b/>
          <w:bCs/>
          <w:szCs w:val="21"/>
        </w:rPr>
        <w:t>.</w:t>
      </w:r>
      <w:r>
        <w:rPr>
          <w:rFonts w:hint="eastAsia" w:ascii="宋体" w:hAnsi="宋体" w:cs="宋体"/>
          <w:szCs w:val="21"/>
        </w:rPr>
        <w:t>排风机组过滤网</w:t>
      </w:r>
      <w:r>
        <w:rPr>
          <w:rFonts w:hint="eastAsia" w:ascii="宋体" w:hAnsi="宋体" w:cs="宋体"/>
          <w:bCs/>
          <w:szCs w:val="21"/>
        </w:rPr>
        <w:t>每月清洗一次，每一年更换一次，</w:t>
      </w:r>
      <w:r>
        <w:rPr>
          <w:rFonts w:hint="eastAsia" w:ascii="宋体" w:hAnsi="宋体" w:cs="宋体"/>
          <w:szCs w:val="21"/>
        </w:rPr>
        <w:t>中效过滤器6个月更换一次，发现污染和堵塞及时更换。</w:t>
      </w:r>
    </w:p>
    <w:p w14:paraId="733F92E6">
      <w:pPr>
        <w:spacing w:line="360" w:lineRule="auto"/>
        <w:ind w:firstLine="420" w:firstLineChars="200"/>
        <w:rPr>
          <w:rFonts w:ascii="宋体" w:hAnsi="宋体" w:cs="宋体"/>
          <w:szCs w:val="21"/>
        </w:rPr>
      </w:pPr>
      <w:r>
        <w:rPr>
          <w:rFonts w:ascii="宋体" w:hAnsi="宋体" w:cs="宋体"/>
          <w:szCs w:val="21"/>
        </w:rPr>
        <w:t>12</w:t>
      </w:r>
      <w:r>
        <w:rPr>
          <w:rFonts w:hint="eastAsia" w:ascii="宋体" w:hAnsi="宋体" w:cs="宋体"/>
          <w:b/>
          <w:bCs/>
          <w:szCs w:val="21"/>
        </w:rPr>
        <w:t>.</w:t>
      </w:r>
      <w:r>
        <w:rPr>
          <w:rFonts w:hint="eastAsia" w:ascii="宋体" w:hAnsi="宋体" w:cs="宋体"/>
          <w:bCs/>
          <w:szCs w:val="21"/>
        </w:rPr>
        <w:t>回风口过滤网</w:t>
      </w:r>
      <w:bookmarkStart w:id="15" w:name="_Hlk71704147"/>
      <w:r>
        <w:rPr>
          <w:rFonts w:hint="eastAsia" w:ascii="宋体" w:hAnsi="宋体" w:cs="宋体"/>
          <w:bCs/>
          <w:szCs w:val="21"/>
        </w:rPr>
        <w:t>每周清洗一次，每一年更换一次</w:t>
      </w:r>
      <w:bookmarkEnd w:id="15"/>
      <w:r>
        <w:rPr>
          <w:rFonts w:hint="eastAsia" w:ascii="宋体" w:hAnsi="宋体" w:cs="宋体"/>
          <w:bCs/>
          <w:szCs w:val="21"/>
        </w:rPr>
        <w:t>，回风中效过滤器</w:t>
      </w:r>
      <w:bookmarkStart w:id="16" w:name="_Hlk71704180"/>
      <w:r>
        <w:rPr>
          <w:rFonts w:hint="eastAsia" w:ascii="宋体" w:hAnsi="宋体" w:cs="宋体"/>
          <w:szCs w:val="21"/>
        </w:rPr>
        <w:t>6个月更换一次</w:t>
      </w:r>
      <w:bookmarkEnd w:id="16"/>
      <w:r>
        <w:rPr>
          <w:rFonts w:hint="eastAsia" w:ascii="宋体" w:hAnsi="宋体" w:cs="宋体"/>
          <w:szCs w:val="21"/>
        </w:rPr>
        <w:t>，如遇污染及时更换，并用500PPM含氯消毒剂擦拭回风口表面。</w:t>
      </w:r>
    </w:p>
    <w:p w14:paraId="75BD6546">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b/>
          <w:bCs/>
          <w:szCs w:val="21"/>
        </w:rPr>
        <w:t>.</w:t>
      </w:r>
      <w:r>
        <w:rPr>
          <w:rFonts w:hint="eastAsia" w:ascii="宋体" w:hAnsi="宋体" w:cs="宋体"/>
          <w:szCs w:val="21"/>
        </w:rPr>
        <w:t>每半年对手术部净化系统进行一次全面的技术指标检测（温湿度、照度、噪声、尘埃粒子、压差、换气次数或风速）及设备机械传动部分润滑保养。技术指标未达到要求立即调整达到要求。</w:t>
      </w:r>
    </w:p>
    <w:p w14:paraId="4324BAA1">
      <w:pPr>
        <w:spacing w:line="360" w:lineRule="auto"/>
        <w:ind w:firstLine="420" w:firstLineChars="200"/>
        <w:rPr>
          <w:rFonts w:ascii="宋体" w:hAnsi="宋体" w:cs="宋体"/>
          <w:szCs w:val="21"/>
        </w:rPr>
      </w:pPr>
      <w:r>
        <w:rPr>
          <w:rFonts w:ascii="宋体" w:hAnsi="宋体" w:cs="宋体"/>
          <w:szCs w:val="21"/>
        </w:rPr>
        <w:t>14</w:t>
      </w:r>
      <w:r>
        <w:rPr>
          <w:rFonts w:hint="eastAsia" w:ascii="宋体" w:hAnsi="宋体" w:cs="宋体"/>
          <w:b/>
          <w:bCs/>
          <w:szCs w:val="21"/>
        </w:rPr>
        <w:t>.</w:t>
      </w:r>
      <w:r>
        <w:rPr>
          <w:rFonts w:hint="eastAsia" w:ascii="宋体" w:hAnsi="宋体" w:cs="宋体"/>
          <w:szCs w:val="21"/>
        </w:rPr>
        <w:t>需为采购人提供净化知识和产品设备日常保养知识培训，</w:t>
      </w:r>
      <w:r>
        <w:rPr>
          <w:rFonts w:hint="eastAsia"/>
        </w:rPr>
        <w:t>相关费用包含在投标总价中</w:t>
      </w:r>
      <w:r>
        <w:rPr>
          <w:rFonts w:hint="eastAsia" w:ascii="宋体" w:hAnsi="宋体" w:cs="宋体"/>
          <w:szCs w:val="21"/>
        </w:rPr>
        <w:t>。</w:t>
      </w:r>
    </w:p>
    <w:p w14:paraId="28007170">
      <w:pPr>
        <w:spacing w:line="360" w:lineRule="auto"/>
        <w:ind w:firstLine="420" w:firstLineChars="200"/>
        <w:rPr>
          <w:rFonts w:ascii="宋体" w:hAnsi="宋体" w:cs="宋体"/>
          <w:szCs w:val="21"/>
        </w:rPr>
      </w:pPr>
      <w:r>
        <w:rPr>
          <w:rFonts w:ascii="宋体" w:hAnsi="宋体" w:cs="宋体"/>
          <w:szCs w:val="21"/>
        </w:rPr>
        <w:t>15</w:t>
      </w:r>
      <w:r>
        <w:rPr>
          <w:rFonts w:hint="eastAsia" w:ascii="宋体" w:hAnsi="宋体" w:cs="宋体"/>
          <w:b/>
          <w:bCs/>
          <w:szCs w:val="21"/>
        </w:rPr>
        <w:t>.</w:t>
      </w:r>
      <w:r>
        <w:rPr>
          <w:rFonts w:hint="eastAsia" w:ascii="宋体" w:hAnsi="宋体" w:cs="宋体"/>
          <w:szCs w:val="21"/>
        </w:rPr>
        <w:t>负责机房环境机房卫生和保证机房照明情况。</w:t>
      </w:r>
    </w:p>
    <w:p w14:paraId="365391CD">
      <w:pPr>
        <w:spacing w:line="360" w:lineRule="auto"/>
        <w:ind w:firstLine="422" w:firstLineChars="200"/>
        <w:rPr>
          <w:rFonts w:ascii="宋体" w:hAnsi="宋体" w:cs="宋体"/>
          <w:b/>
          <w:bCs/>
          <w:szCs w:val="21"/>
        </w:rPr>
      </w:pPr>
      <w:r>
        <w:rPr>
          <w:rFonts w:hint="eastAsia" w:ascii="宋体" w:hAnsi="宋体" w:cs="宋体"/>
          <w:b/>
          <w:bCs/>
          <w:szCs w:val="21"/>
        </w:rPr>
        <w:t>（三）其它要求：</w:t>
      </w:r>
    </w:p>
    <w:p w14:paraId="7DFBCA52">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b/>
          <w:bCs/>
          <w:szCs w:val="21"/>
        </w:rPr>
        <w:t>.</w:t>
      </w:r>
      <w:r>
        <w:rPr>
          <w:rFonts w:hint="eastAsia" w:ascii="宋体" w:hAnsi="宋体" w:cs="宋体"/>
          <w:szCs w:val="21"/>
        </w:rPr>
        <w:t>支持医院净化空调系统标准化管理，提供设备的运行操作、维护保养、应急处理等方面的行为准则，积极配合医院完成各项检查。</w:t>
      </w:r>
    </w:p>
    <w:p w14:paraId="4D2CAF33">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b/>
          <w:bCs/>
          <w:szCs w:val="21"/>
        </w:rPr>
        <w:t>.</w:t>
      </w:r>
      <w:r>
        <w:rPr>
          <w:rFonts w:hint="eastAsia" w:ascii="宋体" w:hAnsi="宋体" w:cs="宋体"/>
          <w:szCs w:val="21"/>
        </w:rPr>
        <w:t>确定设备维保内容，建立设备维保档案。对每次设备日常维保内容进行详细记录，并提交给用户。</w:t>
      </w:r>
    </w:p>
    <w:p w14:paraId="39585EED">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b/>
          <w:bCs/>
          <w:szCs w:val="21"/>
        </w:rPr>
        <w:t>.</w:t>
      </w:r>
      <w:r>
        <w:rPr>
          <w:rFonts w:hint="eastAsia" w:ascii="宋体" w:hAnsi="宋体" w:cs="宋体"/>
          <w:szCs w:val="21"/>
        </w:rPr>
        <w:t>对维护的设备性能应进行技术分析，以便确定该设备或配件是否需要进行维修、更换，同时每月将技术分析报告、维修费用报告提交给用户。</w:t>
      </w:r>
    </w:p>
    <w:p w14:paraId="672D89E7">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b/>
          <w:bCs/>
          <w:szCs w:val="21"/>
        </w:rPr>
        <w:t>.</w:t>
      </w:r>
      <w:r>
        <w:rPr>
          <w:rFonts w:hint="eastAsia" w:ascii="宋体" w:hAnsi="宋体" w:cs="宋体"/>
          <w:szCs w:val="21"/>
        </w:rPr>
        <w:t>为了确保项目的服务及时性和设备的正常运行，在对项目的设备进行调查了解后，供应商对易损配件应配备同等型号、规格零配件库存。</w:t>
      </w:r>
    </w:p>
    <w:p w14:paraId="0202B614">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b/>
          <w:bCs/>
          <w:szCs w:val="21"/>
        </w:rPr>
        <w:t>.</w:t>
      </w:r>
      <w:r>
        <w:rPr>
          <w:rFonts w:hint="eastAsia" w:ascii="宋体" w:hAnsi="宋体" w:cs="宋体"/>
          <w:szCs w:val="21"/>
        </w:rPr>
        <w:t>确保项目的服务工具、检查仪器在任何时间均能正常使用，同时作好工具的备用工作。</w:t>
      </w:r>
    </w:p>
    <w:p w14:paraId="02C7008F">
      <w:pPr>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b/>
          <w:bCs/>
          <w:szCs w:val="21"/>
        </w:rPr>
        <w:t>.</w:t>
      </w:r>
      <w:r>
        <w:rPr>
          <w:rFonts w:hint="eastAsia" w:ascii="宋体" w:hAnsi="宋体" w:cs="宋体"/>
          <w:szCs w:val="21"/>
        </w:rPr>
        <w:t>建立突发事故的应急处理机制，在收到现场维保人员的信息后，项目负责人应根据信息描述，立即召集相关工程技术人员成立应急小组，对产生的事故原因进行分析，并</w:t>
      </w:r>
      <w:r>
        <w:rPr>
          <w:rFonts w:hint="eastAsia"/>
        </w:rPr>
        <w:t>提供</w:t>
      </w:r>
      <w:r>
        <w:rPr>
          <w:rFonts w:hint="eastAsia" w:ascii="宋体" w:hAnsi="宋体" w:cs="宋体"/>
          <w:szCs w:val="21"/>
        </w:rPr>
        <w:t>解决事故的初步方案；同时派遣技术人员在两小时内赶到现场，根据初步方案对事故设备进行控制或维修，并把现场的实际情况反应回应急小组。应急小组在最短的时间内拿出最终解决事故方案、解决事故的时间、解决事故的费用，并及时提交用户，维修完成后，及时提交维修报告给到用户。</w:t>
      </w:r>
    </w:p>
    <w:p w14:paraId="22922359">
      <w:pPr>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b/>
          <w:bCs/>
          <w:szCs w:val="21"/>
        </w:rPr>
        <w:t>.</w:t>
      </w:r>
      <w:r>
        <w:rPr>
          <w:rFonts w:hint="eastAsia" w:ascii="宋体" w:hAnsi="宋体" w:cs="宋体"/>
          <w:szCs w:val="21"/>
        </w:rPr>
        <w:t>档案管理，定期净化空调参数监测记录，完整档案归档，归纳监测报告，中标人、医院各保留壹份。</w:t>
      </w:r>
    </w:p>
    <w:p w14:paraId="52DEB606">
      <w:pPr>
        <w:spacing w:line="360" w:lineRule="auto"/>
        <w:ind w:firstLine="420" w:firstLineChars="200"/>
        <w:rPr>
          <w:rFonts w:ascii="宋体" w:hAnsi="宋体" w:cs="宋体"/>
          <w:szCs w:val="21"/>
        </w:rPr>
      </w:pPr>
      <w:r>
        <w:rPr>
          <w:rFonts w:ascii="宋体" w:hAnsi="宋体" w:cs="宋体"/>
          <w:szCs w:val="21"/>
        </w:rPr>
        <w:t>8</w:t>
      </w:r>
      <w:r>
        <w:rPr>
          <w:rFonts w:hint="eastAsia" w:ascii="宋体" w:hAnsi="宋体" w:cs="宋体"/>
          <w:b/>
          <w:bCs/>
          <w:szCs w:val="21"/>
        </w:rPr>
        <w:t>.</w:t>
      </w:r>
      <w:r>
        <w:rPr>
          <w:rFonts w:hint="eastAsia" w:ascii="宋体" w:hAnsi="宋体" w:cs="宋体"/>
          <w:szCs w:val="21"/>
        </w:rPr>
        <w:t>每天对临时的维护、修理任务做好充分的准备工作，并对临时的修理任务做好记录。</w:t>
      </w:r>
    </w:p>
    <w:p w14:paraId="39C9933F">
      <w:pPr>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b/>
          <w:bCs/>
          <w:szCs w:val="21"/>
        </w:rPr>
        <w:t>.</w:t>
      </w:r>
      <w:r>
        <w:rPr>
          <w:rFonts w:hint="eastAsia" w:ascii="宋体" w:hAnsi="宋体" w:cs="宋体"/>
          <w:szCs w:val="21"/>
        </w:rPr>
        <w:t>对每天或每周维护、保养的设备有重大的质量隐患要以书面的形式立即报告使用科室或总务科，同时上报</w:t>
      </w:r>
      <w:r>
        <w:rPr>
          <w:rFonts w:hint="eastAsia"/>
        </w:rPr>
        <w:t>中标人</w:t>
      </w:r>
      <w:r>
        <w:rPr>
          <w:rFonts w:hint="eastAsia" w:ascii="宋体" w:hAnsi="宋体" w:cs="宋体"/>
          <w:szCs w:val="21"/>
        </w:rPr>
        <w:t>的售后服务部。</w:t>
      </w:r>
    </w:p>
    <w:p w14:paraId="7960AAB0">
      <w:pPr>
        <w:spacing w:line="360" w:lineRule="auto"/>
        <w:ind w:firstLine="420" w:firstLineChars="200"/>
        <w:rPr>
          <w:rFonts w:ascii="宋体" w:hAnsi="宋体" w:cs="宋体"/>
          <w:szCs w:val="21"/>
        </w:rPr>
      </w:pPr>
      <w:r>
        <w:rPr>
          <w:rFonts w:ascii="宋体" w:hAnsi="宋体" w:cs="宋体"/>
          <w:szCs w:val="21"/>
        </w:rPr>
        <w:t>10</w:t>
      </w:r>
      <w:r>
        <w:rPr>
          <w:rFonts w:hint="eastAsia" w:ascii="宋体" w:hAnsi="宋体" w:cs="宋体"/>
          <w:b/>
          <w:bCs/>
          <w:szCs w:val="21"/>
        </w:rPr>
        <w:t>.</w:t>
      </w:r>
      <w:r>
        <w:rPr>
          <w:rFonts w:hint="eastAsia" w:ascii="宋体" w:hAnsi="宋体" w:cs="宋体"/>
          <w:szCs w:val="21"/>
        </w:rPr>
        <w:t>更换材料记录表及售后服务回访记录表等资料，由医院使用科室或后勤管理科确认，一式叁份，交医院使用科室、总务科各一份，</w:t>
      </w:r>
      <w:r>
        <w:rPr>
          <w:rFonts w:hint="eastAsia"/>
        </w:rPr>
        <w:t>中标人</w:t>
      </w:r>
      <w:r>
        <w:rPr>
          <w:rFonts w:hint="eastAsia" w:ascii="宋体" w:hAnsi="宋体" w:cs="宋体"/>
          <w:szCs w:val="21"/>
        </w:rPr>
        <w:t>留存一份。每年质保到期后，对维保状况做年终总结报告到相关部门。</w:t>
      </w:r>
    </w:p>
    <w:p w14:paraId="3C8741C6">
      <w:pPr>
        <w:spacing w:line="360" w:lineRule="auto"/>
        <w:ind w:firstLine="422" w:firstLineChars="200"/>
        <w:rPr>
          <w:rFonts w:ascii="宋体" w:hAnsi="宋体" w:cs="宋体"/>
          <w:b/>
          <w:bCs/>
          <w:szCs w:val="21"/>
        </w:rPr>
      </w:pPr>
      <w:r>
        <w:rPr>
          <w:rFonts w:hint="eastAsia" w:ascii="宋体" w:hAnsi="宋体" w:cs="宋体"/>
          <w:b/>
          <w:bCs/>
          <w:szCs w:val="21"/>
        </w:rPr>
        <w:t>（四）维保承诺</w:t>
      </w:r>
      <w:r>
        <w:rPr>
          <w:rFonts w:hint="eastAsia" w:ascii="宋体" w:hAnsi="宋体" w:cs="宋体"/>
          <w:b/>
          <w:bCs/>
          <w:color w:val="FF0000"/>
          <w:szCs w:val="21"/>
        </w:rPr>
        <w:t>（投标</w:t>
      </w:r>
      <w:r>
        <w:rPr>
          <w:rFonts w:hint="eastAsia" w:ascii="宋体" w:hAnsi="宋体" w:cs="宋体"/>
          <w:b/>
          <w:bCs/>
          <w:color w:val="FF0000"/>
          <w:szCs w:val="21"/>
          <w:lang w:val="en-US" w:eastAsia="zh-CN"/>
        </w:rPr>
        <w:t>人需</w:t>
      </w:r>
      <w:r>
        <w:rPr>
          <w:rFonts w:hint="eastAsia" w:ascii="宋体" w:hAnsi="宋体" w:cs="宋体"/>
          <w:b/>
          <w:bCs/>
          <w:color w:val="FF0000"/>
          <w:szCs w:val="21"/>
        </w:rPr>
        <w:t>对以下内容进行承诺，</w:t>
      </w:r>
      <w:r>
        <w:rPr>
          <w:rFonts w:hint="eastAsia" w:ascii="宋体" w:hAnsi="宋体" w:cs="宋体"/>
          <w:b/>
          <w:bCs/>
          <w:color w:val="FF0000"/>
          <w:szCs w:val="21"/>
          <w:lang w:val="en-US" w:eastAsia="zh-CN"/>
        </w:rPr>
        <w:t>提供承诺函，</w:t>
      </w:r>
      <w:r>
        <w:rPr>
          <w:rFonts w:hint="eastAsia" w:ascii="宋体" w:hAnsi="宋体" w:cs="宋体"/>
          <w:b/>
          <w:bCs/>
          <w:color w:val="FF0000"/>
          <w:szCs w:val="21"/>
        </w:rPr>
        <w:t>格式自拟）</w:t>
      </w:r>
      <w:r>
        <w:rPr>
          <w:rFonts w:hint="eastAsia" w:ascii="宋体" w:hAnsi="宋体" w:cs="宋体"/>
          <w:b/>
          <w:bCs/>
          <w:szCs w:val="21"/>
        </w:rPr>
        <w:t>：</w:t>
      </w:r>
    </w:p>
    <w:p w14:paraId="0272311F">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
          <w:bCs/>
          <w:szCs w:val="21"/>
        </w:rPr>
        <w:t>.</w:t>
      </w:r>
      <w:r>
        <w:rPr>
          <w:rFonts w:hint="eastAsia" w:ascii="宋体" w:hAnsi="宋体" w:cs="宋体"/>
          <w:szCs w:val="21"/>
        </w:rPr>
        <w:t>承诺所范围内所有工作独立按期完成，若因技术等原因无法完成的，中标人外聘第三方技术支持，费用由中标人承担。</w:t>
      </w:r>
    </w:p>
    <w:p w14:paraId="41F66E36">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b/>
          <w:bCs/>
          <w:szCs w:val="21"/>
        </w:rPr>
        <w:t>.</w:t>
      </w:r>
      <w:r>
        <w:rPr>
          <w:rFonts w:hint="eastAsia" w:ascii="宋体" w:hAnsi="宋体" w:cs="宋体"/>
          <w:szCs w:val="21"/>
        </w:rPr>
        <w:t>所有维护、维修行为均建立档案，双方存底。</w:t>
      </w:r>
    </w:p>
    <w:p w14:paraId="6F2115B4">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b/>
          <w:bCs/>
          <w:szCs w:val="21"/>
        </w:rPr>
        <w:t>.</w:t>
      </w:r>
      <w:r>
        <w:rPr>
          <w:rFonts w:hint="eastAsia" w:ascii="宋体" w:hAnsi="宋体" w:cs="宋体"/>
          <w:szCs w:val="21"/>
        </w:rPr>
        <w:t>保证易耗零配件及普通配件充足可靠，建立备件库，确保备件使用及时。</w:t>
      </w:r>
    </w:p>
    <w:p w14:paraId="267AB119">
      <w:pPr>
        <w:spacing w:line="360" w:lineRule="auto"/>
        <w:ind w:firstLine="420" w:firstLineChars="200"/>
      </w:pPr>
      <w:r>
        <w:rPr>
          <w:rFonts w:hint="eastAsia" w:ascii="宋体" w:hAnsi="宋体" w:cs="宋体"/>
          <w:szCs w:val="24"/>
        </w:rPr>
        <w:t>4</w:t>
      </w:r>
      <w:r>
        <w:rPr>
          <w:rFonts w:hint="eastAsia" w:ascii="宋体" w:hAnsi="宋体" w:cs="宋体"/>
          <w:b/>
          <w:bCs/>
          <w:szCs w:val="21"/>
        </w:rPr>
        <w:t>.</w:t>
      </w:r>
      <w:r>
        <w:rPr>
          <w:rFonts w:hint="eastAsia" w:ascii="宋体" w:hAnsi="宋体" w:cs="宋体"/>
          <w:szCs w:val="21"/>
        </w:rPr>
        <w:t>提供日常巡查计划，月、季、年度维保的详细工作计划。认真做好运行、维修、保养记录、每月将净化空调系统运行情况评估报告交予采购人。以上资料作为采购人付款的重要参考依据，需设专人管理，以备查询。</w:t>
      </w:r>
    </w:p>
    <w:p w14:paraId="65733110">
      <w:pPr>
        <w:spacing w:line="360" w:lineRule="auto"/>
        <w:ind w:firstLine="420" w:firstLineChars="200"/>
        <w:rPr>
          <w:color w:val="FF0000"/>
        </w:rPr>
      </w:pPr>
      <w:r>
        <w:rPr>
          <w:rFonts w:ascii="宋体" w:hAnsi="宋体" w:cs="宋体"/>
          <w:color w:val="auto"/>
          <w:szCs w:val="24"/>
        </w:rPr>
        <w:t>5</w:t>
      </w:r>
      <w:r>
        <w:rPr>
          <w:rFonts w:ascii="宋体" w:hAnsi="宋体" w:cs="宋体"/>
          <w:b/>
          <w:bCs/>
          <w:color w:val="auto"/>
          <w:szCs w:val="21"/>
        </w:rPr>
        <w:t>.</w:t>
      </w:r>
      <w:r>
        <w:rPr>
          <w:rFonts w:hint="eastAsia" w:ascii="宋体" w:hAnsi="宋体" w:cs="宋体"/>
          <w:color w:val="auto"/>
          <w:szCs w:val="21"/>
        </w:rPr>
        <w:t>提供层</w:t>
      </w:r>
      <w:r>
        <w:rPr>
          <w:rFonts w:hint="eastAsia" w:asciiTheme="minorEastAsia" w:hAnsiTheme="minorEastAsia" w:eastAsiaTheme="minorEastAsia"/>
          <w:color w:val="auto"/>
          <w:szCs w:val="21"/>
        </w:rPr>
        <w:t>流检测专用设备，包括（</w:t>
      </w:r>
      <w:r>
        <w:rPr>
          <w:rFonts w:hint="eastAsia" w:ascii="宋体" w:hAnsi="宋体" w:cs="宋体"/>
          <w:color w:val="auto"/>
          <w:szCs w:val="21"/>
        </w:rPr>
        <w:t>照度计、温湿度计、数字压差计、风速仪、声级计、尘埃粒子计数器、风量测试仪、远红外温度检测仪、超声波流量计）。</w:t>
      </w:r>
      <w:bookmarkStart w:id="91" w:name="_GoBack"/>
      <w:bookmarkEnd w:id="91"/>
    </w:p>
    <w:p w14:paraId="356C5D90">
      <w:pPr>
        <w:spacing w:line="360" w:lineRule="auto"/>
        <w:ind w:firstLine="422" w:firstLineChars="200"/>
        <w:rPr>
          <w:rFonts w:ascii="宋体" w:hAnsi="宋体" w:cs="宋体"/>
          <w:b/>
          <w:bCs/>
          <w:szCs w:val="21"/>
        </w:rPr>
      </w:pPr>
      <w:r>
        <w:rPr>
          <w:rFonts w:hint="eastAsia" w:ascii="宋体" w:hAnsi="宋体" w:cs="宋体"/>
          <w:b/>
          <w:bCs/>
          <w:szCs w:val="21"/>
        </w:rPr>
        <w:t>（五）维保区域主要设备及过滤器表：</w:t>
      </w:r>
    </w:p>
    <w:p w14:paraId="6E6896BB">
      <w:pPr>
        <w:snapToGrid w:val="0"/>
        <w:spacing w:line="360" w:lineRule="auto"/>
        <w:ind w:firstLine="422" w:firstLineChars="200"/>
        <w:outlineLvl w:val="1"/>
        <w:rPr>
          <w:rFonts w:hint="eastAsia" w:ascii="宋体" w:hAnsi="宋体" w:eastAsia="宋体" w:cs="宋体"/>
          <w:b/>
          <w:szCs w:val="21"/>
          <w:lang w:eastAsia="zh-CN"/>
        </w:rPr>
      </w:pPr>
      <w:r>
        <w:rPr>
          <w:rFonts w:hint="eastAsia" w:ascii="宋体" w:hAnsi="宋体" w:cs="宋体"/>
          <w:b/>
          <w:szCs w:val="21"/>
        </w:rPr>
        <w:t>1、福田院区维保区域主要设备清单</w:t>
      </w:r>
      <w:r>
        <w:rPr>
          <w:rFonts w:hint="eastAsia" w:ascii="宋体" w:hAnsi="宋体" w:cs="宋体"/>
          <w:b/>
          <w:color w:val="FF0000"/>
          <w:szCs w:val="21"/>
          <w:lang w:eastAsia="zh-CN"/>
        </w:rPr>
        <w:t>（</w:t>
      </w:r>
      <w:r>
        <w:rPr>
          <w:rFonts w:hint="eastAsia" w:ascii="宋体" w:hAnsi="宋体" w:cs="宋体"/>
          <w:b/>
          <w:color w:val="FF0000"/>
          <w:szCs w:val="21"/>
          <w:lang w:val="en-US" w:eastAsia="zh-CN"/>
        </w:rPr>
        <w:t>此项不纳入“采购需求响应情况”评审</w:t>
      </w:r>
      <w:r>
        <w:rPr>
          <w:rFonts w:hint="eastAsia" w:ascii="宋体" w:hAnsi="宋体" w:cs="宋体"/>
          <w:b/>
          <w:color w:val="FF0000"/>
          <w:szCs w:val="21"/>
          <w:lang w:eastAsia="zh-CN"/>
        </w:rPr>
        <w:t>）</w:t>
      </w:r>
      <w:r>
        <w:rPr>
          <w:rFonts w:hint="eastAsia" w:ascii="宋体" w:hAnsi="宋体" w:cs="宋体"/>
          <w:b/>
          <w:color w:val="auto"/>
          <w:szCs w:val="21"/>
          <w:lang w:eastAsia="zh-CN"/>
        </w:rPr>
        <w:t>：</w:t>
      </w:r>
    </w:p>
    <w:tbl>
      <w:tblPr>
        <w:tblStyle w:val="42"/>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830"/>
        <w:gridCol w:w="900"/>
        <w:gridCol w:w="1019"/>
        <w:gridCol w:w="2496"/>
        <w:gridCol w:w="1284"/>
      </w:tblGrid>
      <w:tr w14:paraId="0371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109A36DF">
            <w:pPr>
              <w:snapToGrid w:val="0"/>
              <w:spacing w:line="360" w:lineRule="auto"/>
              <w:jc w:val="center"/>
              <w:outlineLvl w:val="1"/>
              <w:rPr>
                <w:rFonts w:ascii="宋体" w:hAnsi="宋体" w:cs="宋体"/>
                <w:b/>
                <w:bCs/>
                <w:szCs w:val="21"/>
              </w:rPr>
            </w:pPr>
            <w:r>
              <w:rPr>
                <w:rFonts w:hint="eastAsia" w:ascii="宋体" w:hAnsi="宋体" w:cs="宋体"/>
                <w:b/>
                <w:bCs/>
                <w:szCs w:val="21"/>
              </w:rPr>
              <w:t>科室</w:t>
            </w:r>
          </w:p>
        </w:tc>
        <w:tc>
          <w:tcPr>
            <w:tcW w:w="1276" w:type="dxa"/>
            <w:tcBorders>
              <w:top w:val="single" w:color="auto" w:sz="4" w:space="0"/>
              <w:left w:val="single" w:color="auto" w:sz="4" w:space="0"/>
              <w:bottom w:val="single" w:color="auto" w:sz="4" w:space="0"/>
              <w:right w:val="single" w:color="auto" w:sz="4" w:space="0"/>
            </w:tcBorders>
            <w:noWrap/>
            <w:vAlign w:val="center"/>
          </w:tcPr>
          <w:p w14:paraId="2D369263">
            <w:pPr>
              <w:snapToGrid w:val="0"/>
              <w:spacing w:line="360" w:lineRule="auto"/>
              <w:jc w:val="center"/>
              <w:outlineLvl w:val="1"/>
              <w:rPr>
                <w:rFonts w:ascii="宋体" w:hAnsi="宋体" w:cs="宋体"/>
                <w:b/>
                <w:bCs/>
                <w:szCs w:val="21"/>
              </w:rPr>
            </w:pPr>
            <w:r>
              <w:rPr>
                <w:rFonts w:hint="eastAsia" w:ascii="宋体" w:hAnsi="宋体" w:cs="宋体"/>
                <w:b/>
                <w:bCs/>
                <w:szCs w:val="21"/>
              </w:rPr>
              <w:t>净化空调机组数量</w:t>
            </w:r>
          </w:p>
        </w:tc>
        <w:tc>
          <w:tcPr>
            <w:tcW w:w="830" w:type="dxa"/>
            <w:tcBorders>
              <w:top w:val="single" w:color="auto" w:sz="4" w:space="0"/>
              <w:left w:val="single" w:color="auto" w:sz="4" w:space="0"/>
              <w:bottom w:val="single" w:color="auto" w:sz="4" w:space="0"/>
              <w:right w:val="single" w:color="auto" w:sz="4" w:space="0"/>
            </w:tcBorders>
            <w:noWrap/>
            <w:vAlign w:val="center"/>
          </w:tcPr>
          <w:p w14:paraId="18677B3F">
            <w:pPr>
              <w:snapToGrid w:val="0"/>
              <w:spacing w:line="360" w:lineRule="auto"/>
              <w:jc w:val="center"/>
              <w:outlineLvl w:val="1"/>
              <w:rPr>
                <w:rFonts w:ascii="宋体" w:hAnsi="宋体" w:cs="宋体"/>
                <w:b/>
                <w:bCs/>
                <w:szCs w:val="21"/>
              </w:rPr>
            </w:pPr>
            <w:r>
              <w:rPr>
                <w:rFonts w:hint="eastAsia" w:ascii="宋体" w:hAnsi="宋体" w:cs="宋体"/>
                <w:b/>
                <w:bCs/>
                <w:szCs w:val="21"/>
              </w:rPr>
              <w:t>室外机组</w:t>
            </w:r>
          </w:p>
        </w:tc>
        <w:tc>
          <w:tcPr>
            <w:tcW w:w="900" w:type="dxa"/>
            <w:tcBorders>
              <w:top w:val="single" w:color="auto" w:sz="4" w:space="0"/>
              <w:left w:val="single" w:color="auto" w:sz="4" w:space="0"/>
              <w:bottom w:val="single" w:color="auto" w:sz="4" w:space="0"/>
              <w:right w:val="single" w:color="auto" w:sz="4" w:space="0"/>
            </w:tcBorders>
            <w:noWrap/>
            <w:vAlign w:val="center"/>
          </w:tcPr>
          <w:p w14:paraId="5B184ECC">
            <w:pPr>
              <w:snapToGrid w:val="0"/>
              <w:spacing w:line="360" w:lineRule="auto"/>
              <w:jc w:val="center"/>
              <w:outlineLvl w:val="1"/>
              <w:rPr>
                <w:rFonts w:ascii="宋体" w:hAnsi="宋体" w:cs="宋体"/>
                <w:b/>
                <w:bCs/>
                <w:szCs w:val="21"/>
              </w:rPr>
            </w:pPr>
            <w:r>
              <w:rPr>
                <w:rFonts w:hint="eastAsia" w:ascii="宋体" w:hAnsi="宋体" w:cs="宋体"/>
                <w:b/>
                <w:bCs/>
                <w:szCs w:val="21"/>
              </w:rPr>
              <w:t>盘管机</w:t>
            </w:r>
          </w:p>
        </w:tc>
        <w:tc>
          <w:tcPr>
            <w:tcW w:w="3515" w:type="dxa"/>
            <w:gridSpan w:val="2"/>
            <w:tcBorders>
              <w:top w:val="single" w:color="auto" w:sz="4" w:space="0"/>
              <w:left w:val="single" w:color="auto" w:sz="4" w:space="0"/>
              <w:bottom w:val="single" w:color="auto" w:sz="4" w:space="0"/>
              <w:right w:val="single" w:color="auto" w:sz="4" w:space="0"/>
            </w:tcBorders>
            <w:noWrap/>
            <w:vAlign w:val="center"/>
          </w:tcPr>
          <w:p w14:paraId="26ED5FE6">
            <w:pPr>
              <w:snapToGrid w:val="0"/>
              <w:spacing w:line="360" w:lineRule="auto"/>
              <w:jc w:val="center"/>
              <w:outlineLvl w:val="1"/>
              <w:rPr>
                <w:rFonts w:ascii="宋体" w:hAnsi="宋体" w:cs="宋体"/>
                <w:b/>
                <w:bCs/>
                <w:szCs w:val="21"/>
              </w:rPr>
            </w:pPr>
            <w:r>
              <w:rPr>
                <w:rFonts w:hint="eastAsia" w:ascii="宋体" w:hAnsi="宋体" w:cs="宋体"/>
                <w:b/>
                <w:bCs/>
                <w:szCs w:val="21"/>
              </w:rPr>
              <w:t>房间总数</w:t>
            </w:r>
          </w:p>
        </w:tc>
        <w:tc>
          <w:tcPr>
            <w:tcW w:w="1284" w:type="dxa"/>
            <w:tcBorders>
              <w:top w:val="single" w:color="auto" w:sz="4" w:space="0"/>
              <w:left w:val="single" w:color="auto" w:sz="4" w:space="0"/>
              <w:bottom w:val="single" w:color="auto" w:sz="4" w:space="0"/>
              <w:right w:val="single" w:color="auto" w:sz="4" w:space="0"/>
            </w:tcBorders>
            <w:noWrap/>
            <w:vAlign w:val="center"/>
          </w:tcPr>
          <w:p w14:paraId="36948559">
            <w:pPr>
              <w:snapToGrid w:val="0"/>
              <w:spacing w:line="360" w:lineRule="auto"/>
              <w:jc w:val="center"/>
              <w:outlineLvl w:val="1"/>
              <w:rPr>
                <w:rFonts w:ascii="宋体" w:hAnsi="宋体" w:cs="宋体"/>
                <w:b/>
                <w:bCs/>
                <w:szCs w:val="21"/>
              </w:rPr>
            </w:pPr>
            <w:r>
              <w:rPr>
                <w:rFonts w:hint="eastAsia" w:ascii="宋体" w:hAnsi="宋体" w:cs="宋体"/>
                <w:b/>
                <w:bCs/>
                <w:szCs w:val="21"/>
              </w:rPr>
              <w:t>级别</w:t>
            </w:r>
          </w:p>
        </w:tc>
      </w:tr>
      <w:tr w14:paraId="6B4E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939" w:type="dxa"/>
            <w:gridSpan w:val="7"/>
            <w:tcBorders>
              <w:top w:val="single" w:color="auto" w:sz="4" w:space="0"/>
              <w:left w:val="single" w:color="auto" w:sz="4" w:space="0"/>
              <w:bottom w:val="single" w:color="auto" w:sz="4" w:space="0"/>
              <w:right w:val="single" w:color="auto" w:sz="4" w:space="0"/>
            </w:tcBorders>
            <w:noWrap/>
            <w:vAlign w:val="center"/>
          </w:tcPr>
          <w:p w14:paraId="2A73EEBD">
            <w:pPr>
              <w:snapToGrid w:val="0"/>
              <w:spacing w:line="360" w:lineRule="auto"/>
              <w:jc w:val="left"/>
              <w:outlineLvl w:val="1"/>
              <w:rPr>
                <w:rFonts w:ascii="宋体" w:hAnsi="宋体" w:cs="宋体"/>
                <w:szCs w:val="21"/>
              </w:rPr>
            </w:pPr>
            <w:r>
              <w:rPr>
                <w:rFonts w:hint="eastAsia" w:ascii="宋体" w:hAnsi="宋体" w:cs="宋体"/>
                <w:b/>
                <w:bCs/>
                <w:szCs w:val="21"/>
              </w:rPr>
              <w:t>B栋住院楼</w:t>
            </w:r>
          </w:p>
        </w:tc>
      </w:tr>
      <w:tr w14:paraId="5E8A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44749A4F">
            <w:pPr>
              <w:snapToGrid w:val="0"/>
              <w:spacing w:line="360" w:lineRule="auto"/>
              <w:jc w:val="center"/>
              <w:outlineLvl w:val="1"/>
              <w:rPr>
                <w:rFonts w:ascii="宋体" w:hAnsi="宋体" w:cs="宋体"/>
                <w:szCs w:val="21"/>
              </w:rPr>
            </w:pPr>
            <w:r>
              <w:rPr>
                <w:rFonts w:hint="eastAsia" w:ascii="宋体" w:hAnsi="宋体" w:cs="宋体"/>
                <w:szCs w:val="21"/>
              </w:rPr>
              <w:t>中心供应室</w:t>
            </w:r>
          </w:p>
        </w:tc>
        <w:tc>
          <w:tcPr>
            <w:tcW w:w="1276" w:type="dxa"/>
            <w:vMerge w:val="restart"/>
            <w:tcBorders>
              <w:top w:val="single" w:color="auto" w:sz="4" w:space="0"/>
              <w:left w:val="single" w:color="auto" w:sz="4" w:space="0"/>
              <w:right w:val="single" w:color="auto" w:sz="4" w:space="0"/>
            </w:tcBorders>
            <w:noWrap/>
            <w:vAlign w:val="center"/>
          </w:tcPr>
          <w:p w14:paraId="39080422">
            <w:pPr>
              <w:shd w:val="solid" w:color="FFFFFF" w:fill="auto"/>
              <w:autoSpaceDN w:val="0"/>
              <w:spacing w:line="360" w:lineRule="auto"/>
              <w:jc w:val="center"/>
              <w:textAlignment w:val="center"/>
              <w:rPr>
                <w:rFonts w:ascii="宋体" w:hAnsi="宋体" w:cs="宋体"/>
                <w:szCs w:val="21"/>
              </w:rPr>
            </w:pPr>
            <w:r>
              <w:rPr>
                <w:rFonts w:hint="eastAsia" w:ascii="宋体" w:hAnsi="宋体" w:cs="宋体"/>
                <w:szCs w:val="21"/>
              </w:rPr>
              <w:t>2台</w:t>
            </w:r>
          </w:p>
        </w:tc>
        <w:tc>
          <w:tcPr>
            <w:tcW w:w="830" w:type="dxa"/>
            <w:vMerge w:val="restart"/>
            <w:tcBorders>
              <w:top w:val="single" w:color="auto" w:sz="4" w:space="0"/>
              <w:left w:val="single" w:color="auto" w:sz="4" w:space="0"/>
              <w:right w:val="single" w:color="auto" w:sz="4" w:space="0"/>
            </w:tcBorders>
            <w:noWrap/>
            <w:vAlign w:val="center"/>
          </w:tcPr>
          <w:p w14:paraId="742AFF3E">
            <w:pPr>
              <w:shd w:val="solid" w:color="FFFFFF" w:fill="auto"/>
              <w:autoSpaceDN w:val="0"/>
              <w:spacing w:line="360" w:lineRule="auto"/>
              <w:jc w:val="center"/>
              <w:textAlignment w:val="center"/>
              <w:rPr>
                <w:rFonts w:ascii="宋体" w:hAnsi="宋体" w:cs="宋体"/>
                <w:szCs w:val="21"/>
              </w:rPr>
            </w:pPr>
          </w:p>
        </w:tc>
        <w:tc>
          <w:tcPr>
            <w:tcW w:w="900" w:type="dxa"/>
            <w:vMerge w:val="restart"/>
            <w:tcBorders>
              <w:top w:val="single" w:color="auto" w:sz="4" w:space="0"/>
              <w:left w:val="single" w:color="auto" w:sz="4" w:space="0"/>
              <w:right w:val="single" w:color="auto" w:sz="4" w:space="0"/>
            </w:tcBorders>
            <w:noWrap/>
            <w:vAlign w:val="center"/>
          </w:tcPr>
          <w:p w14:paraId="24AC9475">
            <w:pPr>
              <w:snapToGrid w:val="0"/>
              <w:spacing w:line="360" w:lineRule="auto"/>
              <w:jc w:val="center"/>
              <w:outlineLvl w:val="1"/>
              <w:rPr>
                <w:rFonts w:ascii="宋体" w:hAnsi="宋体" w:cs="宋体"/>
                <w:szCs w:val="21"/>
              </w:rPr>
            </w:pPr>
          </w:p>
        </w:tc>
        <w:tc>
          <w:tcPr>
            <w:tcW w:w="1019" w:type="dxa"/>
            <w:vMerge w:val="restart"/>
            <w:tcBorders>
              <w:top w:val="single" w:color="auto" w:sz="4" w:space="0"/>
              <w:left w:val="single" w:color="auto" w:sz="4" w:space="0"/>
              <w:bottom w:val="single" w:color="auto" w:sz="4" w:space="0"/>
              <w:right w:val="single" w:color="auto" w:sz="4" w:space="0"/>
            </w:tcBorders>
            <w:noWrap/>
            <w:vAlign w:val="center"/>
          </w:tcPr>
          <w:p w14:paraId="776224F8">
            <w:pPr>
              <w:snapToGrid w:val="0"/>
              <w:spacing w:line="360" w:lineRule="auto"/>
              <w:jc w:val="center"/>
              <w:outlineLvl w:val="1"/>
              <w:rPr>
                <w:rFonts w:ascii="宋体" w:hAnsi="宋体" w:cs="宋体"/>
                <w:szCs w:val="21"/>
              </w:rPr>
            </w:pPr>
            <w:r>
              <w:rPr>
                <w:rFonts w:hint="eastAsia" w:ascii="宋体" w:hAnsi="宋体" w:cs="宋体"/>
                <w:szCs w:val="21"/>
              </w:rPr>
              <w:t>5间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26A8DE4C">
            <w:pPr>
              <w:snapToGrid w:val="0"/>
              <w:spacing w:line="360" w:lineRule="auto"/>
              <w:jc w:val="center"/>
              <w:outlineLvl w:val="1"/>
              <w:rPr>
                <w:rFonts w:ascii="宋体" w:hAnsi="宋体" w:cs="宋体"/>
                <w:szCs w:val="21"/>
              </w:rPr>
            </w:pPr>
            <w:r>
              <w:rPr>
                <w:rFonts w:hint="eastAsia" w:ascii="宋体" w:hAnsi="宋体" w:cs="宋体"/>
                <w:szCs w:val="21"/>
              </w:rPr>
              <w:t>敷料间，清洁区，污染区</w:t>
            </w:r>
          </w:p>
        </w:tc>
        <w:tc>
          <w:tcPr>
            <w:tcW w:w="1284" w:type="dxa"/>
            <w:tcBorders>
              <w:top w:val="single" w:color="auto" w:sz="4" w:space="0"/>
              <w:left w:val="single" w:color="auto" w:sz="4" w:space="0"/>
              <w:bottom w:val="single" w:color="auto" w:sz="4" w:space="0"/>
              <w:right w:val="single" w:color="auto" w:sz="4" w:space="0"/>
            </w:tcBorders>
            <w:noWrap/>
            <w:vAlign w:val="center"/>
          </w:tcPr>
          <w:p w14:paraId="20A26E6E">
            <w:pPr>
              <w:snapToGrid w:val="0"/>
              <w:spacing w:line="360" w:lineRule="auto"/>
              <w:jc w:val="center"/>
              <w:outlineLvl w:val="1"/>
              <w:rPr>
                <w:rFonts w:ascii="宋体" w:hAnsi="宋体" w:cs="宋体"/>
                <w:szCs w:val="21"/>
              </w:rPr>
            </w:pPr>
            <w:r>
              <w:rPr>
                <w:rFonts w:hint="eastAsia" w:ascii="宋体" w:hAnsi="宋体" w:cs="宋体"/>
                <w:szCs w:val="21"/>
              </w:rPr>
              <w:t>十万级</w:t>
            </w:r>
          </w:p>
        </w:tc>
      </w:tr>
      <w:tr w14:paraId="59D9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592C048C">
            <w:pPr>
              <w:widowControl/>
              <w:spacing w:line="360" w:lineRule="auto"/>
              <w:jc w:val="center"/>
              <w:rPr>
                <w:rFonts w:ascii="宋体" w:hAnsi="宋体" w:cs="宋体"/>
                <w:szCs w:val="21"/>
              </w:rPr>
            </w:pPr>
          </w:p>
        </w:tc>
        <w:tc>
          <w:tcPr>
            <w:tcW w:w="1276" w:type="dxa"/>
            <w:vMerge w:val="continue"/>
            <w:tcBorders>
              <w:left w:val="single" w:color="auto" w:sz="4" w:space="0"/>
              <w:bottom w:val="single" w:color="auto" w:sz="4" w:space="0"/>
              <w:right w:val="single" w:color="auto" w:sz="4" w:space="0"/>
            </w:tcBorders>
            <w:noWrap/>
            <w:vAlign w:val="center"/>
          </w:tcPr>
          <w:p w14:paraId="08583F91">
            <w:pPr>
              <w:snapToGrid w:val="0"/>
              <w:spacing w:line="360" w:lineRule="auto"/>
              <w:jc w:val="center"/>
              <w:outlineLvl w:val="1"/>
              <w:rPr>
                <w:rFonts w:ascii="宋体" w:hAnsi="宋体" w:cs="宋体"/>
                <w:szCs w:val="21"/>
              </w:rPr>
            </w:pPr>
          </w:p>
        </w:tc>
        <w:tc>
          <w:tcPr>
            <w:tcW w:w="830" w:type="dxa"/>
            <w:vMerge w:val="continue"/>
            <w:tcBorders>
              <w:left w:val="single" w:color="auto" w:sz="4" w:space="0"/>
              <w:bottom w:val="single" w:color="auto" w:sz="4" w:space="0"/>
              <w:right w:val="single" w:color="auto" w:sz="4" w:space="0"/>
            </w:tcBorders>
            <w:noWrap/>
            <w:vAlign w:val="center"/>
          </w:tcPr>
          <w:p w14:paraId="5C2757B8">
            <w:pPr>
              <w:snapToGrid w:val="0"/>
              <w:spacing w:line="360" w:lineRule="auto"/>
              <w:jc w:val="center"/>
              <w:outlineLvl w:val="1"/>
              <w:rPr>
                <w:rFonts w:ascii="宋体" w:hAnsi="宋体" w:cs="宋体"/>
                <w:szCs w:val="21"/>
              </w:rPr>
            </w:pPr>
          </w:p>
        </w:tc>
        <w:tc>
          <w:tcPr>
            <w:tcW w:w="900" w:type="dxa"/>
            <w:vMerge w:val="continue"/>
            <w:tcBorders>
              <w:left w:val="single" w:color="auto" w:sz="4" w:space="0"/>
              <w:bottom w:val="single" w:color="auto" w:sz="4" w:space="0"/>
              <w:right w:val="single" w:color="auto" w:sz="4" w:space="0"/>
            </w:tcBorders>
            <w:noWrap/>
            <w:vAlign w:val="center"/>
          </w:tcPr>
          <w:p w14:paraId="5CF63EB6">
            <w:pPr>
              <w:snapToGrid w:val="0"/>
              <w:spacing w:line="360" w:lineRule="auto"/>
              <w:jc w:val="center"/>
              <w:outlineLvl w:val="1"/>
              <w:rPr>
                <w:rFonts w:ascii="宋体" w:hAnsi="宋体" w:cs="宋体"/>
                <w:szCs w:val="21"/>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1886833B">
            <w:pPr>
              <w:widowControl/>
              <w:spacing w:line="360" w:lineRule="auto"/>
              <w:jc w:val="center"/>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4926E5BE">
            <w:pPr>
              <w:snapToGrid w:val="0"/>
              <w:spacing w:line="360" w:lineRule="auto"/>
              <w:jc w:val="center"/>
              <w:outlineLvl w:val="1"/>
              <w:rPr>
                <w:rFonts w:ascii="宋体" w:hAnsi="宋体" w:cs="宋体"/>
                <w:szCs w:val="21"/>
              </w:rPr>
            </w:pPr>
            <w:r>
              <w:rPr>
                <w:rFonts w:hint="eastAsia" w:ascii="宋体" w:hAnsi="宋体" w:cs="宋体"/>
                <w:szCs w:val="21"/>
              </w:rPr>
              <w:t>无菌区 ，一次性物品库</w:t>
            </w:r>
          </w:p>
        </w:tc>
        <w:tc>
          <w:tcPr>
            <w:tcW w:w="1284" w:type="dxa"/>
            <w:tcBorders>
              <w:top w:val="single" w:color="auto" w:sz="4" w:space="0"/>
              <w:left w:val="single" w:color="auto" w:sz="4" w:space="0"/>
              <w:bottom w:val="single" w:color="auto" w:sz="4" w:space="0"/>
              <w:right w:val="single" w:color="auto" w:sz="4" w:space="0"/>
            </w:tcBorders>
            <w:noWrap/>
            <w:vAlign w:val="center"/>
          </w:tcPr>
          <w:p w14:paraId="661A3114">
            <w:pPr>
              <w:snapToGrid w:val="0"/>
              <w:spacing w:line="360" w:lineRule="auto"/>
              <w:jc w:val="center"/>
              <w:outlineLvl w:val="1"/>
              <w:rPr>
                <w:rFonts w:ascii="宋体" w:hAnsi="宋体" w:cs="宋体"/>
                <w:szCs w:val="21"/>
              </w:rPr>
            </w:pPr>
            <w:r>
              <w:rPr>
                <w:rFonts w:hint="eastAsia" w:ascii="宋体" w:hAnsi="宋体" w:cs="宋体"/>
                <w:szCs w:val="21"/>
              </w:rPr>
              <w:t>十万级</w:t>
            </w:r>
          </w:p>
        </w:tc>
      </w:tr>
      <w:tr w14:paraId="6CD4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37398A47">
            <w:pPr>
              <w:snapToGrid w:val="0"/>
              <w:spacing w:line="360" w:lineRule="auto"/>
              <w:jc w:val="center"/>
              <w:outlineLvl w:val="1"/>
              <w:rPr>
                <w:rFonts w:ascii="宋体" w:hAnsi="宋体" w:cs="宋体"/>
                <w:szCs w:val="21"/>
              </w:rPr>
            </w:pPr>
            <w:r>
              <w:rPr>
                <w:rFonts w:hint="eastAsia" w:ascii="宋体" w:hAnsi="宋体" w:cs="宋体"/>
                <w:szCs w:val="21"/>
              </w:rPr>
              <w:t>静脉配置中心</w:t>
            </w:r>
          </w:p>
        </w:tc>
        <w:tc>
          <w:tcPr>
            <w:tcW w:w="1276" w:type="dxa"/>
            <w:vMerge w:val="restart"/>
            <w:tcBorders>
              <w:top w:val="single" w:color="auto" w:sz="4" w:space="0"/>
              <w:left w:val="single" w:color="auto" w:sz="4" w:space="0"/>
              <w:right w:val="single" w:color="auto" w:sz="4" w:space="0"/>
            </w:tcBorders>
            <w:noWrap/>
            <w:vAlign w:val="center"/>
          </w:tcPr>
          <w:p w14:paraId="12838E62">
            <w:pPr>
              <w:snapToGrid w:val="0"/>
              <w:spacing w:line="360" w:lineRule="auto"/>
              <w:jc w:val="center"/>
              <w:outlineLvl w:val="1"/>
              <w:rPr>
                <w:rFonts w:ascii="宋体" w:hAnsi="宋体" w:cs="宋体"/>
                <w:szCs w:val="21"/>
              </w:rPr>
            </w:pPr>
            <w:r>
              <w:rPr>
                <w:rFonts w:hint="eastAsia" w:ascii="宋体" w:hAnsi="宋体" w:cs="宋体"/>
                <w:szCs w:val="21"/>
              </w:rPr>
              <w:t>2 台</w:t>
            </w:r>
          </w:p>
        </w:tc>
        <w:tc>
          <w:tcPr>
            <w:tcW w:w="830" w:type="dxa"/>
            <w:vMerge w:val="restart"/>
            <w:tcBorders>
              <w:top w:val="single" w:color="auto" w:sz="4" w:space="0"/>
              <w:left w:val="single" w:color="auto" w:sz="4" w:space="0"/>
              <w:right w:val="single" w:color="auto" w:sz="4" w:space="0"/>
            </w:tcBorders>
            <w:noWrap/>
            <w:vAlign w:val="center"/>
          </w:tcPr>
          <w:p w14:paraId="423002C3">
            <w:pPr>
              <w:snapToGrid w:val="0"/>
              <w:spacing w:line="360" w:lineRule="auto"/>
              <w:jc w:val="center"/>
              <w:outlineLvl w:val="1"/>
              <w:rPr>
                <w:rFonts w:ascii="宋体" w:hAnsi="宋体" w:cs="宋体"/>
                <w:szCs w:val="21"/>
              </w:rPr>
            </w:pPr>
          </w:p>
        </w:tc>
        <w:tc>
          <w:tcPr>
            <w:tcW w:w="900" w:type="dxa"/>
            <w:vMerge w:val="restart"/>
            <w:tcBorders>
              <w:top w:val="single" w:color="auto" w:sz="4" w:space="0"/>
              <w:left w:val="single" w:color="auto" w:sz="4" w:space="0"/>
              <w:right w:val="single" w:color="auto" w:sz="4" w:space="0"/>
            </w:tcBorders>
            <w:noWrap/>
            <w:vAlign w:val="center"/>
          </w:tcPr>
          <w:p w14:paraId="5B180D7D">
            <w:pPr>
              <w:snapToGrid w:val="0"/>
              <w:spacing w:line="360" w:lineRule="auto"/>
              <w:jc w:val="center"/>
              <w:outlineLvl w:val="1"/>
              <w:rPr>
                <w:rFonts w:ascii="宋体" w:hAnsi="宋体" w:cs="宋体"/>
                <w:szCs w:val="21"/>
              </w:rPr>
            </w:pPr>
          </w:p>
        </w:tc>
        <w:tc>
          <w:tcPr>
            <w:tcW w:w="1019" w:type="dxa"/>
            <w:vMerge w:val="restart"/>
            <w:tcBorders>
              <w:top w:val="single" w:color="auto" w:sz="4" w:space="0"/>
              <w:left w:val="single" w:color="auto" w:sz="4" w:space="0"/>
              <w:bottom w:val="single" w:color="auto" w:sz="4" w:space="0"/>
              <w:right w:val="single" w:color="auto" w:sz="4" w:space="0"/>
            </w:tcBorders>
            <w:noWrap/>
            <w:vAlign w:val="center"/>
          </w:tcPr>
          <w:p w14:paraId="1F777BE4">
            <w:pPr>
              <w:snapToGrid w:val="0"/>
              <w:spacing w:line="360" w:lineRule="auto"/>
              <w:jc w:val="center"/>
              <w:outlineLvl w:val="1"/>
              <w:rPr>
                <w:rFonts w:ascii="宋体" w:hAnsi="宋体" w:cs="宋体"/>
                <w:szCs w:val="21"/>
              </w:rPr>
            </w:pPr>
            <w:r>
              <w:rPr>
                <w:rFonts w:hint="eastAsia" w:ascii="宋体" w:hAnsi="宋体" w:cs="宋体"/>
                <w:szCs w:val="21"/>
              </w:rPr>
              <w:t>4间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358381F8">
            <w:pPr>
              <w:snapToGrid w:val="0"/>
              <w:spacing w:line="360" w:lineRule="auto"/>
              <w:jc w:val="center"/>
              <w:outlineLvl w:val="1"/>
              <w:rPr>
                <w:rFonts w:ascii="宋体" w:hAnsi="宋体" w:cs="宋体"/>
                <w:szCs w:val="21"/>
              </w:rPr>
            </w:pPr>
            <w:r>
              <w:rPr>
                <w:rFonts w:hint="eastAsia" w:ascii="宋体" w:hAnsi="宋体" w:cs="宋体"/>
                <w:szCs w:val="21"/>
              </w:rPr>
              <w:t>抗肿瘤营养间</w:t>
            </w:r>
          </w:p>
        </w:tc>
        <w:tc>
          <w:tcPr>
            <w:tcW w:w="1284" w:type="dxa"/>
            <w:tcBorders>
              <w:top w:val="single" w:color="auto" w:sz="4" w:space="0"/>
              <w:left w:val="single" w:color="auto" w:sz="4" w:space="0"/>
              <w:bottom w:val="single" w:color="auto" w:sz="4" w:space="0"/>
              <w:right w:val="single" w:color="auto" w:sz="4" w:space="0"/>
            </w:tcBorders>
            <w:noWrap/>
            <w:vAlign w:val="center"/>
          </w:tcPr>
          <w:p w14:paraId="447FEB32">
            <w:pPr>
              <w:snapToGrid w:val="0"/>
              <w:spacing w:line="360" w:lineRule="auto"/>
              <w:jc w:val="center"/>
              <w:outlineLvl w:val="1"/>
              <w:rPr>
                <w:rFonts w:ascii="宋体" w:hAnsi="宋体" w:cs="宋体"/>
                <w:szCs w:val="21"/>
              </w:rPr>
            </w:pPr>
            <w:r>
              <w:rPr>
                <w:rFonts w:hint="eastAsia" w:ascii="宋体" w:hAnsi="宋体" w:cs="宋体"/>
                <w:szCs w:val="21"/>
              </w:rPr>
              <w:t>万级</w:t>
            </w:r>
          </w:p>
        </w:tc>
      </w:tr>
      <w:tr w14:paraId="7FB5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338DB7A6">
            <w:pPr>
              <w:widowControl/>
              <w:spacing w:line="360" w:lineRule="auto"/>
              <w:jc w:val="center"/>
              <w:rPr>
                <w:rFonts w:ascii="宋体" w:hAnsi="宋体" w:cs="宋体"/>
                <w:szCs w:val="21"/>
              </w:rPr>
            </w:pPr>
          </w:p>
        </w:tc>
        <w:tc>
          <w:tcPr>
            <w:tcW w:w="1276" w:type="dxa"/>
            <w:vMerge w:val="continue"/>
            <w:tcBorders>
              <w:left w:val="single" w:color="auto" w:sz="4" w:space="0"/>
              <w:bottom w:val="single" w:color="auto" w:sz="4" w:space="0"/>
              <w:right w:val="single" w:color="auto" w:sz="4" w:space="0"/>
            </w:tcBorders>
            <w:noWrap/>
            <w:vAlign w:val="center"/>
          </w:tcPr>
          <w:p w14:paraId="1AEC2D91">
            <w:pPr>
              <w:snapToGrid w:val="0"/>
              <w:spacing w:line="360" w:lineRule="auto"/>
              <w:jc w:val="center"/>
              <w:outlineLvl w:val="1"/>
              <w:rPr>
                <w:rFonts w:ascii="宋体" w:hAnsi="宋体" w:cs="宋体"/>
                <w:szCs w:val="21"/>
              </w:rPr>
            </w:pPr>
          </w:p>
        </w:tc>
        <w:tc>
          <w:tcPr>
            <w:tcW w:w="830" w:type="dxa"/>
            <w:vMerge w:val="continue"/>
            <w:tcBorders>
              <w:left w:val="single" w:color="auto" w:sz="4" w:space="0"/>
              <w:bottom w:val="single" w:color="auto" w:sz="4" w:space="0"/>
              <w:right w:val="single" w:color="auto" w:sz="4" w:space="0"/>
            </w:tcBorders>
            <w:noWrap/>
            <w:vAlign w:val="center"/>
          </w:tcPr>
          <w:p w14:paraId="490BEC72">
            <w:pPr>
              <w:snapToGrid w:val="0"/>
              <w:spacing w:line="360" w:lineRule="auto"/>
              <w:jc w:val="center"/>
              <w:outlineLvl w:val="1"/>
              <w:rPr>
                <w:rFonts w:ascii="宋体" w:hAnsi="宋体" w:cs="宋体"/>
                <w:szCs w:val="21"/>
              </w:rPr>
            </w:pPr>
          </w:p>
        </w:tc>
        <w:tc>
          <w:tcPr>
            <w:tcW w:w="900" w:type="dxa"/>
            <w:vMerge w:val="continue"/>
            <w:tcBorders>
              <w:left w:val="single" w:color="auto" w:sz="4" w:space="0"/>
              <w:bottom w:val="single" w:color="auto" w:sz="4" w:space="0"/>
              <w:right w:val="single" w:color="auto" w:sz="4" w:space="0"/>
            </w:tcBorders>
            <w:noWrap/>
            <w:vAlign w:val="center"/>
          </w:tcPr>
          <w:p w14:paraId="59860113">
            <w:pPr>
              <w:snapToGrid w:val="0"/>
              <w:spacing w:line="360" w:lineRule="auto"/>
              <w:jc w:val="center"/>
              <w:outlineLvl w:val="1"/>
              <w:rPr>
                <w:rFonts w:ascii="宋体" w:hAnsi="宋体" w:cs="宋体"/>
                <w:szCs w:val="21"/>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1D3DE7A4">
            <w:pPr>
              <w:widowControl/>
              <w:spacing w:line="360" w:lineRule="auto"/>
              <w:jc w:val="center"/>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350A3EAA">
            <w:pPr>
              <w:snapToGrid w:val="0"/>
              <w:spacing w:line="360" w:lineRule="auto"/>
              <w:jc w:val="center"/>
              <w:outlineLvl w:val="1"/>
              <w:rPr>
                <w:rFonts w:ascii="宋体" w:hAnsi="宋体" w:cs="宋体"/>
                <w:szCs w:val="21"/>
              </w:rPr>
            </w:pPr>
            <w:r>
              <w:rPr>
                <w:rFonts w:hint="eastAsia" w:ascii="宋体" w:hAnsi="宋体" w:cs="宋体"/>
                <w:szCs w:val="21"/>
              </w:rPr>
              <w:t>普通配置间</w:t>
            </w:r>
          </w:p>
        </w:tc>
        <w:tc>
          <w:tcPr>
            <w:tcW w:w="1284" w:type="dxa"/>
            <w:tcBorders>
              <w:top w:val="single" w:color="auto" w:sz="4" w:space="0"/>
              <w:left w:val="single" w:color="auto" w:sz="4" w:space="0"/>
              <w:bottom w:val="single" w:color="auto" w:sz="4" w:space="0"/>
              <w:right w:val="single" w:color="auto" w:sz="4" w:space="0"/>
            </w:tcBorders>
            <w:noWrap/>
            <w:vAlign w:val="center"/>
          </w:tcPr>
          <w:p w14:paraId="1D0A83D3">
            <w:pPr>
              <w:snapToGrid w:val="0"/>
              <w:spacing w:line="360" w:lineRule="auto"/>
              <w:jc w:val="center"/>
              <w:outlineLvl w:val="1"/>
              <w:rPr>
                <w:rFonts w:ascii="宋体" w:hAnsi="宋体" w:cs="宋体"/>
                <w:szCs w:val="21"/>
              </w:rPr>
            </w:pPr>
            <w:r>
              <w:rPr>
                <w:rFonts w:hint="eastAsia" w:ascii="宋体" w:hAnsi="宋体" w:cs="宋体"/>
                <w:szCs w:val="21"/>
              </w:rPr>
              <w:t>万级</w:t>
            </w:r>
          </w:p>
        </w:tc>
      </w:tr>
      <w:tr w14:paraId="2F92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01772DB3">
            <w:pPr>
              <w:snapToGrid w:val="0"/>
              <w:spacing w:line="360" w:lineRule="auto"/>
              <w:jc w:val="center"/>
              <w:outlineLvl w:val="1"/>
              <w:rPr>
                <w:rFonts w:ascii="宋体" w:hAnsi="宋体" w:cs="宋体"/>
                <w:szCs w:val="21"/>
              </w:rPr>
            </w:pPr>
            <w:r>
              <w:rPr>
                <w:rFonts w:hint="eastAsia" w:ascii="宋体" w:hAnsi="宋体" w:cs="宋体"/>
                <w:szCs w:val="21"/>
              </w:rPr>
              <w:t>PICU</w:t>
            </w:r>
          </w:p>
        </w:tc>
        <w:tc>
          <w:tcPr>
            <w:tcW w:w="1276" w:type="dxa"/>
            <w:vMerge w:val="restart"/>
            <w:tcBorders>
              <w:top w:val="single" w:color="auto" w:sz="4" w:space="0"/>
              <w:left w:val="single" w:color="auto" w:sz="4" w:space="0"/>
              <w:right w:val="single" w:color="auto" w:sz="4" w:space="0"/>
            </w:tcBorders>
            <w:noWrap/>
            <w:vAlign w:val="center"/>
          </w:tcPr>
          <w:p w14:paraId="795F063A">
            <w:pPr>
              <w:snapToGrid w:val="0"/>
              <w:spacing w:line="360" w:lineRule="auto"/>
              <w:jc w:val="center"/>
              <w:outlineLvl w:val="1"/>
              <w:rPr>
                <w:rFonts w:ascii="宋体" w:hAnsi="宋体" w:cs="宋体"/>
                <w:szCs w:val="21"/>
              </w:rPr>
            </w:pPr>
            <w:r>
              <w:rPr>
                <w:rFonts w:hint="eastAsia" w:ascii="宋体" w:hAnsi="宋体" w:cs="宋体"/>
                <w:szCs w:val="21"/>
              </w:rPr>
              <w:t>3台</w:t>
            </w:r>
          </w:p>
        </w:tc>
        <w:tc>
          <w:tcPr>
            <w:tcW w:w="830" w:type="dxa"/>
            <w:vMerge w:val="restart"/>
            <w:tcBorders>
              <w:top w:val="single" w:color="auto" w:sz="4" w:space="0"/>
              <w:left w:val="single" w:color="auto" w:sz="4" w:space="0"/>
              <w:right w:val="single" w:color="auto" w:sz="4" w:space="0"/>
            </w:tcBorders>
            <w:noWrap/>
            <w:vAlign w:val="center"/>
          </w:tcPr>
          <w:p w14:paraId="5C5D28E4">
            <w:pPr>
              <w:snapToGrid w:val="0"/>
              <w:spacing w:line="360" w:lineRule="auto"/>
              <w:jc w:val="center"/>
              <w:outlineLvl w:val="1"/>
              <w:rPr>
                <w:rFonts w:ascii="宋体" w:hAnsi="宋体" w:cs="宋体"/>
                <w:szCs w:val="21"/>
              </w:rPr>
            </w:pPr>
          </w:p>
        </w:tc>
        <w:tc>
          <w:tcPr>
            <w:tcW w:w="900" w:type="dxa"/>
            <w:vMerge w:val="restart"/>
            <w:tcBorders>
              <w:top w:val="single" w:color="auto" w:sz="4" w:space="0"/>
              <w:left w:val="single" w:color="auto" w:sz="4" w:space="0"/>
              <w:right w:val="single" w:color="auto" w:sz="4" w:space="0"/>
            </w:tcBorders>
            <w:noWrap/>
            <w:vAlign w:val="center"/>
          </w:tcPr>
          <w:p w14:paraId="7A48302E">
            <w:pPr>
              <w:snapToGrid w:val="0"/>
              <w:spacing w:line="360" w:lineRule="auto"/>
              <w:jc w:val="center"/>
              <w:outlineLvl w:val="1"/>
              <w:rPr>
                <w:rFonts w:ascii="宋体" w:hAnsi="宋体" w:cs="宋体"/>
                <w:szCs w:val="21"/>
              </w:rPr>
            </w:pPr>
          </w:p>
        </w:tc>
        <w:tc>
          <w:tcPr>
            <w:tcW w:w="1019" w:type="dxa"/>
            <w:vMerge w:val="restart"/>
            <w:tcBorders>
              <w:top w:val="single" w:color="auto" w:sz="4" w:space="0"/>
              <w:left w:val="single" w:color="auto" w:sz="4" w:space="0"/>
              <w:bottom w:val="single" w:color="auto" w:sz="4" w:space="0"/>
              <w:right w:val="single" w:color="auto" w:sz="4" w:space="0"/>
            </w:tcBorders>
            <w:noWrap/>
            <w:vAlign w:val="center"/>
          </w:tcPr>
          <w:p w14:paraId="5C01794E">
            <w:pPr>
              <w:snapToGrid w:val="0"/>
              <w:spacing w:line="360" w:lineRule="auto"/>
              <w:jc w:val="center"/>
              <w:outlineLvl w:val="1"/>
              <w:rPr>
                <w:rFonts w:ascii="宋体" w:hAnsi="宋体" w:cs="宋体"/>
                <w:szCs w:val="21"/>
              </w:rPr>
            </w:pPr>
            <w:r>
              <w:rPr>
                <w:rFonts w:hint="eastAsia" w:ascii="宋体" w:hAnsi="宋体" w:cs="宋体"/>
                <w:szCs w:val="21"/>
              </w:rPr>
              <w:t>6间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6C5228BD">
            <w:pPr>
              <w:snapToGrid w:val="0"/>
              <w:spacing w:line="360" w:lineRule="auto"/>
              <w:jc w:val="center"/>
              <w:outlineLvl w:val="1"/>
              <w:rPr>
                <w:rFonts w:ascii="宋体" w:hAnsi="宋体" w:cs="宋体"/>
                <w:szCs w:val="21"/>
              </w:rPr>
            </w:pPr>
            <w:r>
              <w:rPr>
                <w:rFonts w:hint="eastAsia" w:ascii="宋体" w:hAnsi="宋体" w:cs="宋体"/>
                <w:szCs w:val="21"/>
              </w:rPr>
              <w:t>病床大厅</w:t>
            </w:r>
          </w:p>
        </w:tc>
        <w:tc>
          <w:tcPr>
            <w:tcW w:w="1284" w:type="dxa"/>
            <w:tcBorders>
              <w:top w:val="single" w:color="auto" w:sz="4" w:space="0"/>
              <w:left w:val="single" w:color="auto" w:sz="4" w:space="0"/>
              <w:bottom w:val="single" w:color="auto" w:sz="4" w:space="0"/>
              <w:right w:val="single" w:color="auto" w:sz="4" w:space="0"/>
            </w:tcBorders>
            <w:noWrap/>
            <w:vAlign w:val="center"/>
          </w:tcPr>
          <w:p w14:paraId="4CC54EED">
            <w:pPr>
              <w:snapToGrid w:val="0"/>
              <w:spacing w:line="360" w:lineRule="auto"/>
              <w:jc w:val="center"/>
              <w:outlineLvl w:val="1"/>
              <w:rPr>
                <w:rFonts w:ascii="宋体" w:hAnsi="宋体" w:cs="宋体"/>
                <w:szCs w:val="21"/>
              </w:rPr>
            </w:pPr>
            <w:r>
              <w:rPr>
                <w:rFonts w:hint="eastAsia" w:ascii="宋体" w:hAnsi="宋体" w:cs="宋体"/>
                <w:szCs w:val="21"/>
              </w:rPr>
              <w:t>十万级</w:t>
            </w:r>
          </w:p>
        </w:tc>
      </w:tr>
      <w:tr w14:paraId="1FCD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2919D5C7">
            <w:pPr>
              <w:widowControl/>
              <w:spacing w:line="360" w:lineRule="auto"/>
              <w:jc w:val="center"/>
              <w:rPr>
                <w:rFonts w:ascii="宋体" w:hAnsi="宋体" w:cs="宋体"/>
                <w:szCs w:val="21"/>
              </w:rPr>
            </w:pPr>
          </w:p>
        </w:tc>
        <w:tc>
          <w:tcPr>
            <w:tcW w:w="1276" w:type="dxa"/>
            <w:vMerge w:val="continue"/>
            <w:tcBorders>
              <w:left w:val="single" w:color="auto" w:sz="4" w:space="0"/>
              <w:right w:val="single" w:color="auto" w:sz="4" w:space="0"/>
            </w:tcBorders>
            <w:noWrap/>
            <w:vAlign w:val="center"/>
          </w:tcPr>
          <w:p w14:paraId="48A4FD43">
            <w:pPr>
              <w:snapToGrid w:val="0"/>
              <w:spacing w:line="360" w:lineRule="auto"/>
              <w:jc w:val="center"/>
              <w:outlineLvl w:val="1"/>
              <w:rPr>
                <w:rFonts w:ascii="宋体" w:hAnsi="宋体" w:cs="宋体"/>
                <w:szCs w:val="21"/>
              </w:rPr>
            </w:pPr>
          </w:p>
        </w:tc>
        <w:tc>
          <w:tcPr>
            <w:tcW w:w="830" w:type="dxa"/>
            <w:vMerge w:val="continue"/>
            <w:tcBorders>
              <w:left w:val="single" w:color="auto" w:sz="4" w:space="0"/>
              <w:right w:val="single" w:color="auto" w:sz="4" w:space="0"/>
            </w:tcBorders>
            <w:noWrap/>
            <w:vAlign w:val="center"/>
          </w:tcPr>
          <w:p w14:paraId="22E87303">
            <w:pPr>
              <w:snapToGrid w:val="0"/>
              <w:spacing w:line="360" w:lineRule="auto"/>
              <w:jc w:val="center"/>
              <w:outlineLvl w:val="1"/>
              <w:rPr>
                <w:rFonts w:ascii="宋体" w:hAnsi="宋体" w:cs="宋体"/>
                <w:szCs w:val="21"/>
              </w:rPr>
            </w:pPr>
          </w:p>
        </w:tc>
        <w:tc>
          <w:tcPr>
            <w:tcW w:w="900" w:type="dxa"/>
            <w:vMerge w:val="continue"/>
            <w:tcBorders>
              <w:left w:val="single" w:color="auto" w:sz="4" w:space="0"/>
              <w:right w:val="single" w:color="auto" w:sz="4" w:space="0"/>
            </w:tcBorders>
            <w:noWrap/>
            <w:vAlign w:val="center"/>
          </w:tcPr>
          <w:p w14:paraId="78F12395">
            <w:pPr>
              <w:snapToGrid w:val="0"/>
              <w:spacing w:line="360" w:lineRule="auto"/>
              <w:jc w:val="center"/>
              <w:outlineLvl w:val="1"/>
              <w:rPr>
                <w:rFonts w:ascii="宋体" w:hAnsi="宋体" w:cs="宋体"/>
                <w:szCs w:val="21"/>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4D1FE1A4">
            <w:pPr>
              <w:widowControl/>
              <w:spacing w:line="360" w:lineRule="auto"/>
              <w:jc w:val="center"/>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3BB1CEDD">
            <w:pPr>
              <w:snapToGrid w:val="0"/>
              <w:spacing w:line="360" w:lineRule="auto"/>
              <w:jc w:val="center"/>
              <w:outlineLvl w:val="1"/>
              <w:rPr>
                <w:rFonts w:ascii="宋体" w:hAnsi="宋体" w:cs="宋体"/>
                <w:szCs w:val="21"/>
              </w:rPr>
            </w:pPr>
            <w:r>
              <w:rPr>
                <w:rFonts w:hint="eastAsia" w:ascii="宋体" w:hAnsi="宋体" w:cs="宋体"/>
                <w:szCs w:val="21"/>
              </w:rPr>
              <w:t>负压病房</w:t>
            </w:r>
          </w:p>
        </w:tc>
        <w:tc>
          <w:tcPr>
            <w:tcW w:w="1284" w:type="dxa"/>
            <w:vMerge w:val="restart"/>
            <w:tcBorders>
              <w:top w:val="single" w:color="auto" w:sz="4" w:space="0"/>
              <w:left w:val="single" w:color="auto" w:sz="4" w:space="0"/>
              <w:bottom w:val="single" w:color="auto" w:sz="4" w:space="0"/>
              <w:right w:val="single" w:color="auto" w:sz="4" w:space="0"/>
            </w:tcBorders>
            <w:noWrap/>
            <w:vAlign w:val="center"/>
          </w:tcPr>
          <w:p w14:paraId="6A41A00F">
            <w:pPr>
              <w:snapToGrid w:val="0"/>
              <w:spacing w:line="360" w:lineRule="auto"/>
              <w:jc w:val="center"/>
              <w:outlineLvl w:val="1"/>
              <w:rPr>
                <w:rFonts w:ascii="宋体" w:hAnsi="宋体" w:cs="宋体"/>
                <w:szCs w:val="21"/>
              </w:rPr>
            </w:pPr>
            <w:r>
              <w:rPr>
                <w:rFonts w:hint="eastAsia" w:ascii="宋体" w:hAnsi="宋体" w:cs="宋体"/>
                <w:szCs w:val="21"/>
              </w:rPr>
              <w:t>十万级</w:t>
            </w:r>
          </w:p>
        </w:tc>
      </w:tr>
      <w:tr w14:paraId="46EF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23B1BDE3">
            <w:pPr>
              <w:widowControl/>
              <w:spacing w:line="360" w:lineRule="auto"/>
              <w:jc w:val="center"/>
              <w:rPr>
                <w:rFonts w:ascii="宋体" w:hAnsi="宋体" w:cs="宋体"/>
                <w:szCs w:val="21"/>
              </w:rPr>
            </w:pPr>
          </w:p>
        </w:tc>
        <w:tc>
          <w:tcPr>
            <w:tcW w:w="1276" w:type="dxa"/>
            <w:vMerge w:val="continue"/>
            <w:tcBorders>
              <w:left w:val="single" w:color="auto" w:sz="4" w:space="0"/>
              <w:bottom w:val="single" w:color="auto" w:sz="4" w:space="0"/>
              <w:right w:val="single" w:color="auto" w:sz="4" w:space="0"/>
            </w:tcBorders>
            <w:noWrap/>
            <w:vAlign w:val="center"/>
          </w:tcPr>
          <w:p w14:paraId="2B4CCD74">
            <w:pPr>
              <w:snapToGrid w:val="0"/>
              <w:spacing w:line="360" w:lineRule="auto"/>
              <w:jc w:val="center"/>
              <w:outlineLvl w:val="1"/>
              <w:rPr>
                <w:rFonts w:ascii="宋体" w:hAnsi="宋体" w:cs="宋体"/>
                <w:szCs w:val="21"/>
              </w:rPr>
            </w:pPr>
          </w:p>
        </w:tc>
        <w:tc>
          <w:tcPr>
            <w:tcW w:w="830" w:type="dxa"/>
            <w:vMerge w:val="continue"/>
            <w:tcBorders>
              <w:left w:val="single" w:color="auto" w:sz="4" w:space="0"/>
              <w:bottom w:val="single" w:color="auto" w:sz="4" w:space="0"/>
              <w:right w:val="single" w:color="auto" w:sz="4" w:space="0"/>
            </w:tcBorders>
            <w:noWrap/>
            <w:vAlign w:val="center"/>
          </w:tcPr>
          <w:p w14:paraId="35C73751">
            <w:pPr>
              <w:snapToGrid w:val="0"/>
              <w:spacing w:line="360" w:lineRule="auto"/>
              <w:jc w:val="center"/>
              <w:outlineLvl w:val="1"/>
              <w:rPr>
                <w:rFonts w:ascii="宋体" w:hAnsi="宋体" w:cs="宋体"/>
                <w:szCs w:val="21"/>
              </w:rPr>
            </w:pPr>
          </w:p>
        </w:tc>
        <w:tc>
          <w:tcPr>
            <w:tcW w:w="900" w:type="dxa"/>
            <w:vMerge w:val="continue"/>
            <w:tcBorders>
              <w:left w:val="single" w:color="auto" w:sz="4" w:space="0"/>
              <w:bottom w:val="single" w:color="auto" w:sz="4" w:space="0"/>
              <w:right w:val="single" w:color="auto" w:sz="4" w:space="0"/>
            </w:tcBorders>
            <w:noWrap/>
            <w:vAlign w:val="center"/>
          </w:tcPr>
          <w:p w14:paraId="6C5313E9">
            <w:pPr>
              <w:snapToGrid w:val="0"/>
              <w:spacing w:line="360" w:lineRule="auto"/>
              <w:jc w:val="center"/>
              <w:outlineLvl w:val="1"/>
              <w:rPr>
                <w:rFonts w:ascii="宋体" w:hAnsi="宋体" w:cs="宋体"/>
                <w:szCs w:val="21"/>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13A354EA">
            <w:pPr>
              <w:widowControl/>
              <w:spacing w:line="360" w:lineRule="auto"/>
              <w:jc w:val="center"/>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32761C04">
            <w:pPr>
              <w:snapToGrid w:val="0"/>
              <w:spacing w:line="360" w:lineRule="auto"/>
              <w:jc w:val="center"/>
              <w:outlineLvl w:val="1"/>
              <w:rPr>
                <w:rFonts w:ascii="宋体" w:hAnsi="宋体" w:cs="宋体"/>
                <w:szCs w:val="21"/>
              </w:rPr>
            </w:pPr>
            <w:r>
              <w:rPr>
                <w:rFonts w:hint="eastAsia" w:ascii="宋体" w:hAnsi="宋体" w:cs="宋体"/>
                <w:szCs w:val="21"/>
              </w:rPr>
              <w:t>正压病房</w:t>
            </w:r>
          </w:p>
        </w:tc>
        <w:tc>
          <w:tcPr>
            <w:tcW w:w="1284" w:type="dxa"/>
            <w:vMerge w:val="continue"/>
            <w:tcBorders>
              <w:top w:val="single" w:color="auto" w:sz="4" w:space="0"/>
              <w:left w:val="single" w:color="auto" w:sz="4" w:space="0"/>
              <w:bottom w:val="single" w:color="auto" w:sz="4" w:space="0"/>
              <w:right w:val="single" w:color="auto" w:sz="4" w:space="0"/>
            </w:tcBorders>
            <w:noWrap/>
            <w:vAlign w:val="center"/>
          </w:tcPr>
          <w:p w14:paraId="5FF34774">
            <w:pPr>
              <w:widowControl/>
              <w:spacing w:line="360" w:lineRule="auto"/>
              <w:jc w:val="center"/>
              <w:rPr>
                <w:rFonts w:ascii="宋体" w:hAnsi="宋体" w:cs="宋体"/>
                <w:szCs w:val="21"/>
              </w:rPr>
            </w:pPr>
          </w:p>
        </w:tc>
      </w:tr>
      <w:tr w14:paraId="2282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7983DFE3">
            <w:pPr>
              <w:snapToGrid w:val="0"/>
              <w:spacing w:line="360" w:lineRule="auto"/>
              <w:jc w:val="center"/>
              <w:outlineLvl w:val="1"/>
              <w:rPr>
                <w:rFonts w:ascii="宋体" w:hAnsi="宋体" w:cs="宋体"/>
                <w:szCs w:val="21"/>
              </w:rPr>
            </w:pPr>
            <w:r>
              <w:rPr>
                <w:rFonts w:hint="eastAsia" w:ascii="宋体" w:hAnsi="宋体" w:cs="宋体"/>
                <w:szCs w:val="21"/>
              </w:rPr>
              <w:t>NICU</w:t>
            </w:r>
          </w:p>
        </w:tc>
        <w:tc>
          <w:tcPr>
            <w:tcW w:w="1276" w:type="dxa"/>
            <w:tcBorders>
              <w:top w:val="single" w:color="auto" w:sz="4" w:space="0"/>
              <w:left w:val="single" w:color="auto" w:sz="4" w:space="0"/>
              <w:bottom w:val="single" w:color="auto" w:sz="4" w:space="0"/>
              <w:right w:val="single" w:color="auto" w:sz="4" w:space="0"/>
            </w:tcBorders>
            <w:noWrap/>
            <w:vAlign w:val="center"/>
          </w:tcPr>
          <w:p w14:paraId="660471EF">
            <w:pPr>
              <w:snapToGrid w:val="0"/>
              <w:spacing w:line="360" w:lineRule="auto"/>
              <w:jc w:val="center"/>
              <w:outlineLvl w:val="1"/>
              <w:rPr>
                <w:rFonts w:ascii="宋体" w:hAnsi="宋体" w:cs="宋体"/>
                <w:szCs w:val="21"/>
              </w:rPr>
            </w:pPr>
            <w:r>
              <w:rPr>
                <w:rFonts w:hint="eastAsia" w:ascii="宋体" w:hAnsi="宋体" w:cs="宋体"/>
                <w:szCs w:val="21"/>
              </w:rPr>
              <w:t>8台</w:t>
            </w:r>
          </w:p>
        </w:tc>
        <w:tc>
          <w:tcPr>
            <w:tcW w:w="830" w:type="dxa"/>
            <w:tcBorders>
              <w:top w:val="single" w:color="auto" w:sz="4" w:space="0"/>
              <w:left w:val="single" w:color="auto" w:sz="4" w:space="0"/>
              <w:bottom w:val="single" w:color="auto" w:sz="4" w:space="0"/>
              <w:right w:val="single" w:color="auto" w:sz="4" w:space="0"/>
            </w:tcBorders>
            <w:noWrap/>
            <w:vAlign w:val="center"/>
          </w:tcPr>
          <w:p w14:paraId="6939ABF1">
            <w:pPr>
              <w:snapToGrid w:val="0"/>
              <w:spacing w:line="360" w:lineRule="auto"/>
              <w:jc w:val="center"/>
              <w:outlineLvl w:val="1"/>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514CE45A">
            <w:pPr>
              <w:snapToGrid w:val="0"/>
              <w:spacing w:line="360" w:lineRule="auto"/>
              <w:jc w:val="center"/>
              <w:outlineLvl w:val="1"/>
              <w:rPr>
                <w:rFonts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noWrap/>
            <w:vAlign w:val="center"/>
          </w:tcPr>
          <w:p w14:paraId="05A16EBD">
            <w:pPr>
              <w:snapToGrid w:val="0"/>
              <w:spacing w:line="360" w:lineRule="auto"/>
              <w:jc w:val="center"/>
              <w:outlineLvl w:val="1"/>
              <w:rPr>
                <w:rFonts w:ascii="宋体" w:hAnsi="宋体" w:cs="宋体"/>
                <w:szCs w:val="21"/>
              </w:rPr>
            </w:pPr>
            <w:r>
              <w:rPr>
                <w:rFonts w:hint="eastAsia" w:ascii="宋体" w:hAnsi="宋体" w:cs="宋体"/>
                <w:szCs w:val="21"/>
              </w:rPr>
              <w:t>6间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1FBDD6CA">
            <w:pPr>
              <w:snapToGrid w:val="0"/>
              <w:spacing w:line="360" w:lineRule="auto"/>
              <w:jc w:val="center"/>
              <w:outlineLvl w:val="1"/>
              <w:rPr>
                <w:rFonts w:ascii="宋体" w:hAnsi="宋体" w:cs="宋体"/>
                <w:szCs w:val="21"/>
              </w:rPr>
            </w:pPr>
            <w:r>
              <w:rPr>
                <w:rFonts w:hint="eastAsia" w:ascii="宋体" w:hAnsi="宋体" w:cs="宋体"/>
                <w:szCs w:val="21"/>
              </w:rPr>
              <w:t>A,B,C,D，V区</w:t>
            </w:r>
          </w:p>
        </w:tc>
        <w:tc>
          <w:tcPr>
            <w:tcW w:w="1284" w:type="dxa"/>
            <w:tcBorders>
              <w:top w:val="single" w:color="auto" w:sz="4" w:space="0"/>
              <w:left w:val="single" w:color="auto" w:sz="4" w:space="0"/>
              <w:bottom w:val="single" w:color="auto" w:sz="4" w:space="0"/>
              <w:right w:val="single" w:color="auto" w:sz="4" w:space="0"/>
            </w:tcBorders>
            <w:noWrap/>
            <w:vAlign w:val="center"/>
          </w:tcPr>
          <w:p w14:paraId="193657EE">
            <w:pPr>
              <w:snapToGrid w:val="0"/>
              <w:spacing w:line="360" w:lineRule="auto"/>
              <w:jc w:val="center"/>
              <w:outlineLvl w:val="1"/>
              <w:rPr>
                <w:rFonts w:ascii="宋体" w:hAnsi="宋体" w:cs="宋体"/>
                <w:szCs w:val="21"/>
              </w:rPr>
            </w:pPr>
            <w:r>
              <w:rPr>
                <w:rFonts w:hint="eastAsia" w:ascii="宋体" w:hAnsi="宋体" w:cs="宋体"/>
                <w:szCs w:val="21"/>
              </w:rPr>
              <w:t>十万级</w:t>
            </w:r>
          </w:p>
        </w:tc>
      </w:tr>
      <w:tr w14:paraId="5A6B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4ED69464">
            <w:pPr>
              <w:snapToGrid w:val="0"/>
              <w:spacing w:line="360" w:lineRule="auto"/>
              <w:jc w:val="center"/>
              <w:outlineLvl w:val="1"/>
              <w:rPr>
                <w:rFonts w:ascii="宋体" w:hAnsi="宋体" w:cs="宋体"/>
                <w:szCs w:val="21"/>
              </w:rPr>
            </w:pPr>
            <w:r>
              <w:rPr>
                <w:rFonts w:hint="eastAsia" w:ascii="宋体" w:hAnsi="宋体" w:cs="宋体"/>
                <w:szCs w:val="21"/>
              </w:rPr>
              <w:t>检验科</w:t>
            </w:r>
          </w:p>
        </w:tc>
        <w:tc>
          <w:tcPr>
            <w:tcW w:w="1276" w:type="dxa"/>
            <w:tcBorders>
              <w:top w:val="single" w:color="auto" w:sz="4" w:space="0"/>
              <w:left w:val="single" w:color="auto" w:sz="4" w:space="0"/>
              <w:bottom w:val="single" w:color="auto" w:sz="4" w:space="0"/>
              <w:right w:val="single" w:color="auto" w:sz="4" w:space="0"/>
            </w:tcBorders>
            <w:noWrap/>
            <w:vAlign w:val="center"/>
          </w:tcPr>
          <w:p w14:paraId="05FC4379">
            <w:pPr>
              <w:snapToGrid w:val="0"/>
              <w:spacing w:line="360" w:lineRule="auto"/>
              <w:jc w:val="center"/>
              <w:outlineLvl w:val="1"/>
              <w:rPr>
                <w:rFonts w:ascii="宋体" w:hAnsi="宋体" w:cs="宋体"/>
                <w:szCs w:val="21"/>
              </w:rPr>
            </w:pPr>
            <w:r>
              <w:rPr>
                <w:rFonts w:hint="eastAsia" w:ascii="宋体" w:hAnsi="宋体" w:cs="宋体"/>
                <w:szCs w:val="21"/>
              </w:rPr>
              <w:t>1台</w:t>
            </w:r>
          </w:p>
        </w:tc>
        <w:tc>
          <w:tcPr>
            <w:tcW w:w="830" w:type="dxa"/>
            <w:tcBorders>
              <w:top w:val="single" w:color="auto" w:sz="4" w:space="0"/>
              <w:left w:val="single" w:color="auto" w:sz="4" w:space="0"/>
              <w:bottom w:val="single" w:color="auto" w:sz="4" w:space="0"/>
              <w:right w:val="single" w:color="auto" w:sz="4" w:space="0"/>
            </w:tcBorders>
            <w:noWrap/>
            <w:vAlign w:val="center"/>
          </w:tcPr>
          <w:p w14:paraId="4A4DCF47">
            <w:pPr>
              <w:snapToGrid w:val="0"/>
              <w:spacing w:line="360" w:lineRule="auto"/>
              <w:jc w:val="center"/>
              <w:outlineLvl w:val="1"/>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0B507E81">
            <w:pPr>
              <w:snapToGrid w:val="0"/>
              <w:spacing w:line="360" w:lineRule="auto"/>
              <w:jc w:val="center"/>
              <w:outlineLvl w:val="1"/>
              <w:rPr>
                <w:rFonts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noWrap/>
            <w:vAlign w:val="center"/>
          </w:tcPr>
          <w:p w14:paraId="1AEDDD15">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4B9AEC47">
            <w:pPr>
              <w:snapToGrid w:val="0"/>
              <w:spacing w:line="360" w:lineRule="auto"/>
              <w:jc w:val="center"/>
              <w:outlineLvl w:val="1"/>
              <w:rPr>
                <w:rFonts w:ascii="宋体" w:hAnsi="宋体" w:cs="宋体"/>
                <w:szCs w:val="21"/>
              </w:rPr>
            </w:pPr>
          </w:p>
          <w:p w14:paraId="5A131DC9"/>
        </w:tc>
        <w:tc>
          <w:tcPr>
            <w:tcW w:w="1284" w:type="dxa"/>
            <w:tcBorders>
              <w:top w:val="single" w:color="auto" w:sz="4" w:space="0"/>
              <w:left w:val="single" w:color="auto" w:sz="4" w:space="0"/>
              <w:bottom w:val="single" w:color="auto" w:sz="4" w:space="0"/>
              <w:right w:val="single" w:color="auto" w:sz="4" w:space="0"/>
            </w:tcBorders>
            <w:noWrap/>
            <w:vAlign w:val="center"/>
          </w:tcPr>
          <w:p w14:paraId="5A21C00E">
            <w:pPr>
              <w:snapToGrid w:val="0"/>
              <w:spacing w:line="360" w:lineRule="auto"/>
              <w:jc w:val="center"/>
              <w:outlineLvl w:val="1"/>
              <w:rPr>
                <w:rFonts w:ascii="宋体" w:hAnsi="宋体" w:cs="宋体"/>
                <w:szCs w:val="21"/>
              </w:rPr>
            </w:pPr>
          </w:p>
        </w:tc>
      </w:tr>
      <w:tr w14:paraId="196D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vMerge w:val="restart"/>
            <w:tcBorders>
              <w:top w:val="single" w:color="auto" w:sz="4" w:space="0"/>
              <w:left w:val="single" w:color="auto" w:sz="4" w:space="0"/>
              <w:right w:val="single" w:color="auto" w:sz="4" w:space="0"/>
            </w:tcBorders>
            <w:noWrap/>
            <w:vAlign w:val="center"/>
          </w:tcPr>
          <w:p w14:paraId="5E2CFD60">
            <w:pPr>
              <w:snapToGrid w:val="0"/>
              <w:spacing w:line="360" w:lineRule="auto"/>
              <w:jc w:val="center"/>
              <w:outlineLvl w:val="1"/>
              <w:rPr>
                <w:rFonts w:ascii="宋体" w:hAnsi="宋体" w:cs="宋体"/>
                <w:szCs w:val="21"/>
              </w:rPr>
            </w:pPr>
            <w:r>
              <w:rPr>
                <w:rFonts w:hint="eastAsia" w:ascii="宋体" w:hAnsi="宋体" w:cs="宋体"/>
                <w:szCs w:val="21"/>
              </w:rPr>
              <w:t>5楼手术室部</w:t>
            </w:r>
          </w:p>
        </w:tc>
        <w:tc>
          <w:tcPr>
            <w:tcW w:w="1276" w:type="dxa"/>
            <w:vMerge w:val="restart"/>
            <w:tcBorders>
              <w:top w:val="single" w:color="auto" w:sz="4" w:space="0"/>
              <w:left w:val="single" w:color="auto" w:sz="4" w:space="0"/>
              <w:right w:val="single" w:color="auto" w:sz="4" w:space="0"/>
            </w:tcBorders>
            <w:noWrap/>
            <w:vAlign w:val="center"/>
          </w:tcPr>
          <w:p w14:paraId="09D9F86C">
            <w:pPr>
              <w:snapToGrid w:val="0"/>
              <w:spacing w:line="360" w:lineRule="auto"/>
              <w:jc w:val="center"/>
              <w:outlineLvl w:val="1"/>
              <w:rPr>
                <w:rFonts w:ascii="宋体" w:hAnsi="宋体" w:cs="宋体"/>
                <w:szCs w:val="21"/>
              </w:rPr>
            </w:pPr>
            <w:r>
              <w:rPr>
                <w:rFonts w:hint="eastAsia" w:ascii="宋体" w:hAnsi="宋体" w:cs="宋体"/>
                <w:szCs w:val="21"/>
              </w:rPr>
              <w:t>24台</w:t>
            </w:r>
          </w:p>
        </w:tc>
        <w:tc>
          <w:tcPr>
            <w:tcW w:w="830" w:type="dxa"/>
            <w:vMerge w:val="restart"/>
            <w:tcBorders>
              <w:top w:val="single" w:color="auto" w:sz="4" w:space="0"/>
              <w:left w:val="single" w:color="auto" w:sz="4" w:space="0"/>
              <w:right w:val="single" w:color="auto" w:sz="4" w:space="0"/>
            </w:tcBorders>
            <w:noWrap/>
            <w:vAlign w:val="center"/>
          </w:tcPr>
          <w:p w14:paraId="0040D324">
            <w:pPr>
              <w:snapToGrid w:val="0"/>
              <w:spacing w:line="360" w:lineRule="auto"/>
              <w:jc w:val="center"/>
              <w:outlineLvl w:val="1"/>
              <w:rPr>
                <w:rFonts w:ascii="宋体" w:hAnsi="宋体" w:cs="宋体"/>
                <w:szCs w:val="21"/>
              </w:rPr>
            </w:pPr>
          </w:p>
        </w:tc>
        <w:tc>
          <w:tcPr>
            <w:tcW w:w="900" w:type="dxa"/>
            <w:vMerge w:val="restart"/>
            <w:tcBorders>
              <w:top w:val="single" w:color="auto" w:sz="4" w:space="0"/>
              <w:left w:val="single" w:color="auto" w:sz="4" w:space="0"/>
              <w:right w:val="single" w:color="auto" w:sz="4" w:space="0"/>
            </w:tcBorders>
            <w:noWrap/>
            <w:vAlign w:val="center"/>
          </w:tcPr>
          <w:p w14:paraId="75046440">
            <w:pPr>
              <w:snapToGrid w:val="0"/>
              <w:spacing w:line="360" w:lineRule="auto"/>
              <w:jc w:val="center"/>
              <w:outlineLvl w:val="1"/>
              <w:rPr>
                <w:rFonts w:ascii="宋体" w:hAnsi="宋体" w:cs="宋体"/>
                <w:szCs w:val="21"/>
              </w:rPr>
            </w:pPr>
          </w:p>
        </w:tc>
        <w:tc>
          <w:tcPr>
            <w:tcW w:w="1019" w:type="dxa"/>
            <w:vMerge w:val="restart"/>
            <w:tcBorders>
              <w:top w:val="single" w:color="auto" w:sz="4" w:space="0"/>
              <w:left w:val="single" w:color="auto" w:sz="4" w:space="0"/>
              <w:right w:val="single" w:color="auto" w:sz="4" w:space="0"/>
            </w:tcBorders>
            <w:noWrap/>
            <w:vAlign w:val="center"/>
          </w:tcPr>
          <w:p w14:paraId="0C00555E">
            <w:pPr>
              <w:snapToGrid w:val="0"/>
              <w:spacing w:line="360" w:lineRule="auto"/>
              <w:jc w:val="center"/>
              <w:outlineLvl w:val="1"/>
              <w:rPr>
                <w:rFonts w:ascii="宋体" w:hAnsi="宋体" w:cs="宋体"/>
                <w:szCs w:val="21"/>
              </w:rPr>
            </w:pPr>
            <w:r>
              <w:rPr>
                <w:rFonts w:hint="eastAsia" w:ascii="宋体" w:hAnsi="宋体" w:cs="宋体"/>
                <w:szCs w:val="21"/>
              </w:rPr>
              <w:t>34间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7450C1DB">
            <w:pPr>
              <w:snapToGrid w:val="0"/>
              <w:spacing w:line="360" w:lineRule="auto"/>
              <w:jc w:val="center"/>
              <w:outlineLvl w:val="1"/>
              <w:rPr>
                <w:rFonts w:ascii="宋体" w:hAnsi="宋体" w:cs="宋体"/>
                <w:szCs w:val="21"/>
              </w:rPr>
            </w:pPr>
            <w:r>
              <w:rPr>
                <w:rFonts w:hint="eastAsia" w:ascii="宋体" w:hAnsi="宋体" w:cs="宋体"/>
                <w:szCs w:val="21"/>
              </w:rPr>
              <w:t>1#，2#，3#，复合手术室，</w:t>
            </w:r>
          </w:p>
        </w:tc>
        <w:tc>
          <w:tcPr>
            <w:tcW w:w="1284" w:type="dxa"/>
            <w:tcBorders>
              <w:top w:val="single" w:color="auto" w:sz="4" w:space="0"/>
              <w:left w:val="single" w:color="auto" w:sz="4" w:space="0"/>
              <w:bottom w:val="single" w:color="auto" w:sz="4" w:space="0"/>
              <w:right w:val="single" w:color="auto" w:sz="4" w:space="0"/>
            </w:tcBorders>
            <w:noWrap/>
            <w:vAlign w:val="center"/>
          </w:tcPr>
          <w:p w14:paraId="40D81DAF">
            <w:pPr>
              <w:snapToGrid w:val="0"/>
              <w:spacing w:line="360" w:lineRule="auto"/>
              <w:jc w:val="center"/>
              <w:outlineLvl w:val="1"/>
              <w:rPr>
                <w:rFonts w:ascii="宋体" w:hAnsi="宋体" w:cs="宋体"/>
                <w:szCs w:val="21"/>
              </w:rPr>
            </w:pPr>
            <w:r>
              <w:rPr>
                <w:rFonts w:hint="eastAsia" w:ascii="宋体" w:hAnsi="宋体" w:cs="宋体"/>
                <w:szCs w:val="21"/>
              </w:rPr>
              <w:t>百级</w:t>
            </w:r>
          </w:p>
        </w:tc>
      </w:tr>
      <w:tr w14:paraId="0648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vMerge w:val="continue"/>
            <w:tcBorders>
              <w:left w:val="single" w:color="auto" w:sz="4" w:space="0"/>
              <w:right w:val="single" w:color="auto" w:sz="4" w:space="0"/>
            </w:tcBorders>
            <w:noWrap/>
            <w:vAlign w:val="center"/>
          </w:tcPr>
          <w:p w14:paraId="1228282D">
            <w:pPr>
              <w:widowControl/>
              <w:spacing w:line="360" w:lineRule="auto"/>
              <w:jc w:val="center"/>
              <w:rPr>
                <w:rFonts w:ascii="宋体" w:hAnsi="宋体" w:cs="宋体"/>
                <w:szCs w:val="21"/>
              </w:rPr>
            </w:pPr>
          </w:p>
        </w:tc>
        <w:tc>
          <w:tcPr>
            <w:tcW w:w="1276" w:type="dxa"/>
            <w:vMerge w:val="continue"/>
            <w:tcBorders>
              <w:left w:val="single" w:color="auto" w:sz="4" w:space="0"/>
              <w:right w:val="single" w:color="auto" w:sz="4" w:space="0"/>
            </w:tcBorders>
            <w:noWrap/>
            <w:vAlign w:val="center"/>
          </w:tcPr>
          <w:p w14:paraId="61B4205C">
            <w:pPr>
              <w:snapToGrid w:val="0"/>
              <w:spacing w:line="360" w:lineRule="auto"/>
              <w:jc w:val="center"/>
              <w:outlineLvl w:val="1"/>
              <w:rPr>
                <w:rFonts w:ascii="宋体" w:hAnsi="宋体" w:cs="宋体"/>
                <w:szCs w:val="21"/>
              </w:rPr>
            </w:pPr>
          </w:p>
        </w:tc>
        <w:tc>
          <w:tcPr>
            <w:tcW w:w="830" w:type="dxa"/>
            <w:vMerge w:val="continue"/>
            <w:tcBorders>
              <w:left w:val="single" w:color="auto" w:sz="4" w:space="0"/>
              <w:right w:val="single" w:color="auto" w:sz="4" w:space="0"/>
            </w:tcBorders>
            <w:noWrap/>
            <w:vAlign w:val="center"/>
          </w:tcPr>
          <w:p w14:paraId="229D86BE">
            <w:pPr>
              <w:snapToGrid w:val="0"/>
              <w:spacing w:line="360" w:lineRule="auto"/>
              <w:jc w:val="center"/>
              <w:outlineLvl w:val="1"/>
              <w:rPr>
                <w:rFonts w:ascii="宋体" w:hAnsi="宋体" w:cs="宋体"/>
                <w:szCs w:val="21"/>
              </w:rPr>
            </w:pPr>
          </w:p>
        </w:tc>
        <w:tc>
          <w:tcPr>
            <w:tcW w:w="900" w:type="dxa"/>
            <w:vMerge w:val="continue"/>
            <w:tcBorders>
              <w:left w:val="single" w:color="auto" w:sz="4" w:space="0"/>
              <w:right w:val="single" w:color="auto" w:sz="4" w:space="0"/>
            </w:tcBorders>
            <w:noWrap/>
            <w:vAlign w:val="center"/>
          </w:tcPr>
          <w:p w14:paraId="5F526C96">
            <w:pPr>
              <w:snapToGrid w:val="0"/>
              <w:spacing w:line="360" w:lineRule="auto"/>
              <w:jc w:val="center"/>
              <w:outlineLvl w:val="1"/>
              <w:rPr>
                <w:rFonts w:ascii="宋体" w:hAnsi="宋体" w:cs="宋体"/>
                <w:szCs w:val="21"/>
              </w:rPr>
            </w:pPr>
          </w:p>
        </w:tc>
        <w:tc>
          <w:tcPr>
            <w:tcW w:w="1019" w:type="dxa"/>
            <w:vMerge w:val="continue"/>
            <w:tcBorders>
              <w:left w:val="single" w:color="auto" w:sz="4" w:space="0"/>
              <w:right w:val="single" w:color="auto" w:sz="4" w:space="0"/>
            </w:tcBorders>
            <w:noWrap/>
            <w:vAlign w:val="center"/>
          </w:tcPr>
          <w:p w14:paraId="3336A2E0">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282AD8BE">
            <w:pPr>
              <w:snapToGrid w:val="0"/>
              <w:spacing w:line="360" w:lineRule="auto"/>
              <w:jc w:val="center"/>
              <w:outlineLvl w:val="1"/>
              <w:rPr>
                <w:rFonts w:ascii="宋体" w:hAnsi="宋体" w:cs="宋体"/>
                <w:szCs w:val="21"/>
              </w:rPr>
            </w:pPr>
            <w:r>
              <w:rPr>
                <w:rFonts w:hint="eastAsia" w:ascii="宋体" w:hAnsi="宋体" w:cs="宋体"/>
                <w:szCs w:val="21"/>
              </w:rPr>
              <w:t>4#，5#，6#，7#，8#，9#，10#，11#，12#，15#，17#，18#，19#，DSA,20#,</w:t>
            </w:r>
          </w:p>
        </w:tc>
        <w:tc>
          <w:tcPr>
            <w:tcW w:w="1284" w:type="dxa"/>
            <w:tcBorders>
              <w:top w:val="single" w:color="auto" w:sz="4" w:space="0"/>
              <w:left w:val="single" w:color="auto" w:sz="4" w:space="0"/>
              <w:bottom w:val="single" w:color="auto" w:sz="4" w:space="0"/>
              <w:right w:val="single" w:color="auto" w:sz="4" w:space="0"/>
            </w:tcBorders>
            <w:noWrap/>
            <w:vAlign w:val="center"/>
          </w:tcPr>
          <w:p w14:paraId="274BABDA">
            <w:pPr>
              <w:snapToGrid w:val="0"/>
              <w:spacing w:line="360" w:lineRule="auto"/>
              <w:jc w:val="center"/>
              <w:outlineLvl w:val="1"/>
              <w:rPr>
                <w:rFonts w:ascii="宋体" w:hAnsi="宋体" w:cs="宋体"/>
                <w:szCs w:val="21"/>
              </w:rPr>
            </w:pPr>
            <w:r>
              <w:rPr>
                <w:rFonts w:hint="eastAsia" w:ascii="宋体" w:hAnsi="宋体" w:cs="宋体"/>
                <w:szCs w:val="21"/>
              </w:rPr>
              <w:t>万级</w:t>
            </w:r>
          </w:p>
        </w:tc>
      </w:tr>
      <w:tr w14:paraId="1E3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vMerge w:val="continue"/>
            <w:tcBorders>
              <w:left w:val="single" w:color="auto" w:sz="4" w:space="0"/>
              <w:bottom w:val="single" w:color="auto" w:sz="4" w:space="0"/>
              <w:right w:val="single" w:color="auto" w:sz="4" w:space="0"/>
            </w:tcBorders>
            <w:noWrap/>
            <w:vAlign w:val="center"/>
          </w:tcPr>
          <w:p w14:paraId="2E3C582D">
            <w:pPr>
              <w:widowControl/>
              <w:spacing w:line="360" w:lineRule="auto"/>
              <w:jc w:val="center"/>
              <w:rPr>
                <w:rFonts w:ascii="宋体" w:hAnsi="宋体" w:cs="宋体"/>
                <w:szCs w:val="21"/>
              </w:rPr>
            </w:pPr>
          </w:p>
        </w:tc>
        <w:tc>
          <w:tcPr>
            <w:tcW w:w="1276" w:type="dxa"/>
            <w:vMerge w:val="continue"/>
            <w:tcBorders>
              <w:left w:val="single" w:color="auto" w:sz="4" w:space="0"/>
              <w:bottom w:val="single" w:color="auto" w:sz="4" w:space="0"/>
              <w:right w:val="single" w:color="auto" w:sz="4" w:space="0"/>
            </w:tcBorders>
            <w:noWrap/>
            <w:vAlign w:val="center"/>
          </w:tcPr>
          <w:p w14:paraId="45313516">
            <w:pPr>
              <w:snapToGrid w:val="0"/>
              <w:spacing w:line="360" w:lineRule="auto"/>
              <w:jc w:val="center"/>
              <w:outlineLvl w:val="1"/>
              <w:rPr>
                <w:rFonts w:ascii="宋体" w:hAnsi="宋体" w:cs="宋体"/>
                <w:szCs w:val="21"/>
              </w:rPr>
            </w:pPr>
          </w:p>
        </w:tc>
        <w:tc>
          <w:tcPr>
            <w:tcW w:w="830" w:type="dxa"/>
            <w:vMerge w:val="continue"/>
            <w:tcBorders>
              <w:left w:val="single" w:color="auto" w:sz="4" w:space="0"/>
              <w:bottom w:val="single" w:color="auto" w:sz="4" w:space="0"/>
              <w:right w:val="single" w:color="auto" w:sz="4" w:space="0"/>
            </w:tcBorders>
            <w:noWrap/>
            <w:vAlign w:val="center"/>
          </w:tcPr>
          <w:p w14:paraId="0E3404A2">
            <w:pPr>
              <w:snapToGrid w:val="0"/>
              <w:spacing w:line="360" w:lineRule="auto"/>
              <w:jc w:val="center"/>
              <w:outlineLvl w:val="1"/>
              <w:rPr>
                <w:rFonts w:ascii="宋体" w:hAnsi="宋体" w:cs="宋体"/>
                <w:szCs w:val="21"/>
              </w:rPr>
            </w:pPr>
          </w:p>
        </w:tc>
        <w:tc>
          <w:tcPr>
            <w:tcW w:w="900" w:type="dxa"/>
            <w:vMerge w:val="continue"/>
            <w:tcBorders>
              <w:left w:val="single" w:color="auto" w:sz="4" w:space="0"/>
              <w:bottom w:val="single" w:color="auto" w:sz="4" w:space="0"/>
              <w:right w:val="single" w:color="auto" w:sz="4" w:space="0"/>
            </w:tcBorders>
            <w:noWrap/>
            <w:vAlign w:val="center"/>
          </w:tcPr>
          <w:p w14:paraId="37A71DC9">
            <w:pPr>
              <w:snapToGrid w:val="0"/>
              <w:spacing w:line="360" w:lineRule="auto"/>
              <w:jc w:val="center"/>
              <w:outlineLvl w:val="1"/>
              <w:rPr>
                <w:rFonts w:ascii="宋体" w:hAnsi="宋体" w:cs="宋体"/>
                <w:szCs w:val="21"/>
              </w:rPr>
            </w:pPr>
          </w:p>
        </w:tc>
        <w:tc>
          <w:tcPr>
            <w:tcW w:w="1019" w:type="dxa"/>
            <w:vMerge w:val="continue"/>
            <w:tcBorders>
              <w:left w:val="single" w:color="auto" w:sz="4" w:space="0"/>
              <w:bottom w:val="single" w:color="auto" w:sz="4" w:space="0"/>
              <w:right w:val="single" w:color="auto" w:sz="4" w:space="0"/>
            </w:tcBorders>
            <w:noWrap/>
            <w:vAlign w:val="center"/>
          </w:tcPr>
          <w:p w14:paraId="66536299">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76FA0681">
            <w:pPr>
              <w:snapToGrid w:val="0"/>
              <w:spacing w:line="360" w:lineRule="auto"/>
              <w:jc w:val="center"/>
              <w:outlineLvl w:val="1"/>
              <w:rPr>
                <w:rFonts w:ascii="宋体" w:hAnsi="宋体" w:cs="宋体"/>
                <w:szCs w:val="21"/>
              </w:rPr>
            </w:pPr>
            <w:r>
              <w:rPr>
                <w:rFonts w:hint="eastAsia" w:ascii="宋体" w:hAnsi="宋体" w:cs="宋体"/>
                <w:szCs w:val="21"/>
              </w:rPr>
              <w:t>16#</w:t>
            </w:r>
          </w:p>
        </w:tc>
        <w:tc>
          <w:tcPr>
            <w:tcW w:w="1284" w:type="dxa"/>
            <w:tcBorders>
              <w:top w:val="single" w:color="auto" w:sz="4" w:space="0"/>
              <w:left w:val="single" w:color="auto" w:sz="4" w:space="0"/>
              <w:bottom w:val="single" w:color="auto" w:sz="4" w:space="0"/>
              <w:right w:val="single" w:color="auto" w:sz="4" w:space="0"/>
            </w:tcBorders>
            <w:noWrap/>
            <w:vAlign w:val="center"/>
          </w:tcPr>
          <w:p w14:paraId="4D1A700F">
            <w:pPr>
              <w:snapToGrid w:val="0"/>
              <w:spacing w:line="360" w:lineRule="auto"/>
              <w:jc w:val="center"/>
              <w:outlineLvl w:val="1"/>
              <w:rPr>
                <w:rFonts w:ascii="宋体" w:hAnsi="宋体" w:cs="宋体"/>
                <w:szCs w:val="21"/>
              </w:rPr>
            </w:pPr>
            <w:r>
              <w:rPr>
                <w:rFonts w:hint="eastAsia" w:ascii="宋体" w:hAnsi="宋体" w:cs="宋体"/>
                <w:szCs w:val="21"/>
              </w:rPr>
              <w:t>千级</w:t>
            </w:r>
          </w:p>
        </w:tc>
      </w:tr>
      <w:tr w14:paraId="04BB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65C0C633">
            <w:pPr>
              <w:snapToGrid w:val="0"/>
              <w:spacing w:line="360" w:lineRule="auto"/>
              <w:jc w:val="center"/>
              <w:outlineLvl w:val="1"/>
              <w:rPr>
                <w:rFonts w:ascii="宋体" w:hAnsi="宋体" w:cs="宋体"/>
                <w:szCs w:val="21"/>
              </w:rPr>
            </w:pPr>
            <w:r>
              <w:rPr>
                <w:rFonts w:hint="eastAsia" w:ascii="宋体" w:hAnsi="宋体" w:cs="宋体"/>
                <w:szCs w:val="21"/>
              </w:rPr>
              <w:t>楼顶天台</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2DCE19E4">
            <w:pPr>
              <w:snapToGrid w:val="0"/>
              <w:spacing w:line="360" w:lineRule="auto"/>
              <w:jc w:val="center"/>
              <w:outlineLvl w:val="1"/>
              <w:rPr>
                <w:rFonts w:ascii="宋体" w:hAnsi="宋体" w:cs="宋体"/>
                <w:szCs w:val="21"/>
              </w:rPr>
            </w:pPr>
            <w:r>
              <w:rPr>
                <w:rFonts w:hint="eastAsia" w:ascii="宋体" w:hAnsi="宋体" w:cs="宋体"/>
                <w:szCs w:val="21"/>
              </w:rPr>
              <w:t>3台室外风冷螺杆冷热源机组、水泵8台</w:t>
            </w:r>
          </w:p>
          <w:p w14:paraId="5ECBD670">
            <w:pPr>
              <w:snapToGrid w:val="0"/>
              <w:spacing w:line="360" w:lineRule="auto"/>
              <w:jc w:val="center"/>
              <w:outlineLvl w:val="1"/>
              <w:rPr>
                <w:rFonts w:ascii="宋体" w:hAnsi="宋体" w:cs="宋体"/>
                <w:szCs w:val="21"/>
              </w:rPr>
            </w:pPr>
            <w:r>
              <w:rPr>
                <w:rFonts w:hint="eastAsia" w:ascii="宋体" w:hAnsi="宋体" w:cs="宋体"/>
                <w:szCs w:val="21"/>
              </w:rPr>
              <w:t>NICU,B区一台冷源机组，C区一台冷源机组，V区两台冷源机组</w:t>
            </w:r>
          </w:p>
        </w:tc>
        <w:tc>
          <w:tcPr>
            <w:tcW w:w="1019" w:type="dxa"/>
            <w:tcBorders>
              <w:top w:val="single" w:color="auto" w:sz="4" w:space="0"/>
              <w:left w:val="single" w:color="auto" w:sz="4" w:space="0"/>
              <w:bottom w:val="single" w:color="auto" w:sz="4" w:space="0"/>
              <w:right w:val="single" w:color="auto" w:sz="4" w:space="0"/>
            </w:tcBorders>
            <w:noWrap/>
            <w:vAlign w:val="center"/>
          </w:tcPr>
          <w:p w14:paraId="59986251">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2DEE7122">
            <w:pPr>
              <w:snapToGrid w:val="0"/>
              <w:spacing w:line="360" w:lineRule="auto"/>
              <w:jc w:val="center"/>
              <w:outlineLvl w:val="1"/>
              <w:rPr>
                <w:rFonts w:ascii="宋体" w:hAnsi="宋体" w:cs="宋体"/>
                <w:szCs w:val="21"/>
              </w:rPr>
            </w:pPr>
          </w:p>
          <w:p w14:paraId="1F69A2DE"/>
        </w:tc>
        <w:tc>
          <w:tcPr>
            <w:tcW w:w="1284" w:type="dxa"/>
            <w:tcBorders>
              <w:top w:val="single" w:color="auto" w:sz="4" w:space="0"/>
              <w:left w:val="single" w:color="auto" w:sz="4" w:space="0"/>
              <w:bottom w:val="single" w:color="auto" w:sz="4" w:space="0"/>
              <w:right w:val="single" w:color="auto" w:sz="4" w:space="0"/>
            </w:tcBorders>
            <w:noWrap/>
            <w:vAlign w:val="center"/>
          </w:tcPr>
          <w:p w14:paraId="7BF05978">
            <w:pPr>
              <w:snapToGrid w:val="0"/>
              <w:spacing w:line="360" w:lineRule="auto"/>
              <w:jc w:val="center"/>
              <w:outlineLvl w:val="1"/>
              <w:rPr>
                <w:rFonts w:ascii="宋体" w:hAnsi="宋体" w:cs="宋体"/>
                <w:szCs w:val="21"/>
              </w:rPr>
            </w:pPr>
          </w:p>
        </w:tc>
      </w:tr>
      <w:tr w14:paraId="139F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632185D0">
            <w:pPr>
              <w:snapToGrid w:val="0"/>
              <w:spacing w:line="360" w:lineRule="auto"/>
              <w:jc w:val="center"/>
              <w:outlineLvl w:val="1"/>
              <w:rPr>
                <w:rFonts w:ascii="宋体" w:hAnsi="宋体" w:cs="宋体"/>
                <w:szCs w:val="21"/>
              </w:rPr>
            </w:pPr>
            <w:r>
              <w:rPr>
                <w:rFonts w:hint="eastAsia" w:ascii="宋体" w:hAnsi="宋体" w:cs="宋体"/>
                <w:szCs w:val="21"/>
              </w:rPr>
              <w:t>8楼泌尿科（一间）</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57F41451">
            <w:pPr>
              <w:snapToGrid w:val="0"/>
              <w:spacing w:line="360" w:lineRule="auto"/>
              <w:jc w:val="center"/>
              <w:outlineLvl w:val="1"/>
              <w:rPr>
                <w:rFonts w:ascii="宋体" w:hAnsi="宋体" w:cs="宋体"/>
                <w:szCs w:val="21"/>
              </w:rPr>
            </w:pPr>
            <w:r>
              <w:rPr>
                <w:rFonts w:hint="eastAsia" w:ascii="宋体" w:hAnsi="宋体" w:cs="宋体"/>
                <w:szCs w:val="21"/>
              </w:rPr>
              <w:t>自动门  50扇</w:t>
            </w:r>
          </w:p>
        </w:tc>
        <w:tc>
          <w:tcPr>
            <w:tcW w:w="1019" w:type="dxa"/>
            <w:tcBorders>
              <w:top w:val="single" w:color="auto" w:sz="4" w:space="0"/>
              <w:left w:val="single" w:color="auto" w:sz="4" w:space="0"/>
              <w:bottom w:val="single" w:color="auto" w:sz="4" w:space="0"/>
              <w:right w:val="single" w:color="auto" w:sz="4" w:space="0"/>
            </w:tcBorders>
            <w:noWrap/>
            <w:vAlign w:val="center"/>
          </w:tcPr>
          <w:p w14:paraId="6F1A2D09">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15270B09">
            <w:pPr>
              <w:snapToGrid w:val="0"/>
              <w:spacing w:line="360" w:lineRule="auto"/>
              <w:jc w:val="center"/>
              <w:outlineLvl w:val="1"/>
              <w:rPr>
                <w:rFonts w:ascii="宋体" w:hAnsi="宋体" w:cs="宋体"/>
                <w:szCs w:val="21"/>
              </w:rPr>
            </w:pPr>
          </w:p>
        </w:tc>
        <w:tc>
          <w:tcPr>
            <w:tcW w:w="1284" w:type="dxa"/>
            <w:tcBorders>
              <w:top w:val="single" w:color="auto" w:sz="4" w:space="0"/>
              <w:left w:val="single" w:color="auto" w:sz="4" w:space="0"/>
              <w:bottom w:val="single" w:color="auto" w:sz="4" w:space="0"/>
              <w:right w:val="single" w:color="auto" w:sz="4" w:space="0"/>
            </w:tcBorders>
            <w:noWrap/>
            <w:vAlign w:val="center"/>
          </w:tcPr>
          <w:p w14:paraId="3F2A78DF">
            <w:pPr>
              <w:snapToGrid w:val="0"/>
              <w:spacing w:line="360" w:lineRule="auto"/>
              <w:jc w:val="center"/>
              <w:outlineLvl w:val="1"/>
              <w:rPr>
                <w:rFonts w:ascii="宋体" w:hAnsi="宋体" w:cs="宋体"/>
                <w:szCs w:val="21"/>
              </w:rPr>
            </w:pPr>
          </w:p>
        </w:tc>
      </w:tr>
      <w:tr w14:paraId="7F08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1134" w:type="dxa"/>
            <w:vMerge w:val="restart"/>
            <w:tcBorders>
              <w:top w:val="single" w:color="auto" w:sz="4" w:space="0"/>
              <w:left w:val="single" w:color="auto" w:sz="4" w:space="0"/>
              <w:right w:val="single" w:color="auto" w:sz="4" w:space="0"/>
            </w:tcBorders>
            <w:noWrap/>
            <w:vAlign w:val="center"/>
          </w:tcPr>
          <w:p w14:paraId="473CF2BF">
            <w:pPr>
              <w:snapToGrid w:val="0"/>
              <w:spacing w:line="360" w:lineRule="auto"/>
              <w:jc w:val="center"/>
              <w:outlineLvl w:val="1"/>
              <w:rPr>
                <w:rFonts w:ascii="宋体" w:hAnsi="宋体" w:cs="宋体"/>
                <w:szCs w:val="21"/>
              </w:rPr>
            </w:pPr>
            <w:r>
              <w:rPr>
                <w:rFonts w:hint="eastAsia" w:ascii="宋体" w:hAnsi="宋体" w:cs="宋体"/>
                <w:szCs w:val="21"/>
              </w:rPr>
              <w:t>1楼日间手术室</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210AC8EB">
            <w:pPr>
              <w:snapToGrid w:val="0"/>
              <w:spacing w:line="360" w:lineRule="auto"/>
              <w:jc w:val="center"/>
              <w:outlineLvl w:val="1"/>
              <w:rPr>
                <w:rFonts w:ascii="宋体" w:hAnsi="宋体" w:cs="宋体"/>
                <w:szCs w:val="21"/>
              </w:rPr>
            </w:pPr>
            <w:r>
              <w:rPr>
                <w:rFonts w:hint="eastAsia" w:ascii="宋体" w:hAnsi="宋体" w:cs="宋体"/>
                <w:szCs w:val="21"/>
              </w:rPr>
              <w:t>6台机组，4台冷源机组，4台水泵</w:t>
            </w:r>
          </w:p>
        </w:tc>
        <w:tc>
          <w:tcPr>
            <w:tcW w:w="1019" w:type="dxa"/>
            <w:tcBorders>
              <w:top w:val="single" w:color="auto" w:sz="4" w:space="0"/>
              <w:left w:val="single" w:color="auto" w:sz="4" w:space="0"/>
              <w:bottom w:val="single" w:color="auto" w:sz="4" w:space="0"/>
              <w:right w:val="single" w:color="auto" w:sz="4" w:space="0"/>
            </w:tcBorders>
            <w:noWrap/>
            <w:vAlign w:val="center"/>
          </w:tcPr>
          <w:p w14:paraId="62394A22">
            <w:pPr>
              <w:snapToGrid w:val="0"/>
              <w:spacing w:line="360" w:lineRule="auto"/>
              <w:jc w:val="center"/>
              <w:outlineLvl w:val="1"/>
              <w:rPr>
                <w:rFonts w:ascii="宋体" w:hAnsi="宋体" w:cs="宋体"/>
                <w:szCs w:val="21"/>
              </w:rPr>
            </w:pPr>
            <w:r>
              <w:rPr>
                <w:rFonts w:hint="eastAsia" w:ascii="宋体" w:hAnsi="宋体" w:cs="宋体"/>
                <w:szCs w:val="21"/>
              </w:rPr>
              <w:t>4间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170BB6E9">
            <w:pPr>
              <w:snapToGrid w:val="0"/>
              <w:spacing w:line="360" w:lineRule="auto"/>
              <w:jc w:val="center"/>
              <w:outlineLvl w:val="1"/>
              <w:rPr>
                <w:rFonts w:ascii="宋体" w:hAnsi="宋体" w:cs="宋体"/>
                <w:szCs w:val="21"/>
              </w:rPr>
            </w:pPr>
            <w:r>
              <w:rPr>
                <w:rFonts w:hint="eastAsia" w:ascii="宋体" w:hAnsi="宋体" w:cs="宋体"/>
                <w:szCs w:val="21"/>
              </w:rPr>
              <w:t>手术室1.手术室2.手术室3.手术室4</w:t>
            </w:r>
          </w:p>
        </w:tc>
        <w:tc>
          <w:tcPr>
            <w:tcW w:w="1284" w:type="dxa"/>
            <w:tcBorders>
              <w:top w:val="single" w:color="auto" w:sz="4" w:space="0"/>
              <w:left w:val="single" w:color="auto" w:sz="4" w:space="0"/>
              <w:bottom w:val="single" w:color="auto" w:sz="4" w:space="0"/>
              <w:right w:val="single" w:color="auto" w:sz="4" w:space="0"/>
            </w:tcBorders>
            <w:noWrap/>
            <w:vAlign w:val="center"/>
          </w:tcPr>
          <w:p w14:paraId="4820396F">
            <w:pPr>
              <w:snapToGrid w:val="0"/>
              <w:spacing w:line="360" w:lineRule="auto"/>
              <w:jc w:val="center"/>
              <w:outlineLvl w:val="1"/>
              <w:rPr>
                <w:rFonts w:ascii="宋体" w:hAnsi="宋体" w:cs="宋体"/>
                <w:szCs w:val="21"/>
              </w:rPr>
            </w:pPr>
            <w:r>
              <w:rPr>
                <w:rFonts w:hint="eastAsia" w:ascii="宋体" w:hAnsi="宋体" w:cs="宋体"/>
                <w:szCs w:val="21"/>
              </w:rPr>
              <w:t>万级</w:t>
            </w:r>
          </w:p>
        </w:tc>
      </w:tr>
      <w:tr w14:paraId="53D5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vMerge w:val="continue"/>
            <w:tcBorders>
              <w:left w:val="single" w:color="auto" w:sz="4" w:space="0"/>
              <w:bottom w:val="single" w:color="auto" w:sz="4" w:space="0"/>
              <w:right w:val="single" w:color="auto" w:sz="4" w:space="0"/>
            </w:tcBorders>
            <w:noWrap/>
            <w:vAlign w:val="center"/>
          </w:tcPr>
          <w:p w14:paraId="1F4E98BF">
            <w:pPr>
              <w:snapToGrid w:val="0"/>
              <w:spacing w:line="360" w:lineRule="auto"/>
              <w:jc w:val="center"/>
              <w:outlineLvl w:val="1"/>
              <w:rPr>
                <w:rFonts w:ascii="宋体" w:hAnsi="宋体" w:cs="宋体"/>
                <w:szCs w:val="21"/>
              </w:rPr>
            </w:pP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6739A126">
            <w:pPr>
              <w:snapToGrid w:val="0"/>
              <w:spacing w:line="360" w:lineRule="auto"/>
              <w:jc w:val="center"/>
              <w:outlineLvl w:val="1"/>
              <w:rPr>
                <w:rFonts w:ascii="宋体" w:hAnsi="宋体" w:cs="宋体"/>
                <w:szCs w:val="21"/>
              </w:rPr>
            </w:pPr>
            <w:r>
              <w:rPr>
                <w:rFonts w:hint="eastAsia" w:ascii="宋体" w:hAnsi="宋体" w:cs="宋体"/>
                <w:szCs w:val="21"/>
              </w:rPr>
              <w:t>自动门14扇</w:t>
            </w:r>
          </w:p>
        </w:tc>
        <w:tc>
          <w:tcPr>
            <w:tcW w:w="1019" w:type="dxa"/>
            <w:tcBorders>
              <w:top w:val="single" w:color="auto" w:sz="4" w:space="0"/>
              <w:left w:val="single" w:color="auto" w:sz="4" w:space="0"/>
              <w:bottom w:val="single" w:color="auto" w:sz="4" w:space="0"/>
              <w:right w:val="single" w:color="auto" w:sz="4" w:space="0"/>
            </w:tcBorders>
            <w:noWrap/>
            <w:vAlign w:val="center"/>
          </w:tcPr>
          <w:p w14:paraId="0011B86E">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13EA5DAD">
            <w:pPr>
              <w:snapToGrid w:val="0"/>
              <w:spacing w:line="360" w:lineRule="auto"/>
              <w:jc w:val="center"/>
              <w:outlineLvl w:val="1"/>
              <w:rPr>
                <w:rFonts w:ascii="宋体" w:hAnsi="宋体" w:cs="宋体"/>
                <w:szCs w:val="21"/>
              </w:rPr>
            </w:pPr>
          </w:p>
        </w:tc>
        <w:tc>
          <w:tcPr>
            <w:tcW w:w="1284" w:type="dxa"/>
            <w:tcBorders>
              <w:top w:val="single" w:color="auto" w:sz="4" w:space="0"/>
              <w:left w:val="single" w:color="auto" w:sz="4" w:space="0"/>
              <w:bottom w:val="single" w:color="auto" w:sz="4" w:space="0"/>
              <w:right w:val="single" w:color="auto" w:sz="4" w:space="0"/>
            </w:tcBorders>
            <w:noWrap/>
            <w:vAlign w:val="center"/>
          </w:tcPr>
          <w:p w14:paraId="48249621">
            <w:pPr>
              <w:snapToGrid w:val="0"/>
              <w:spacing w:line="360" w:lineRule="auto"/>
              <w:jc w:val="center"/>
              <w:outlineLvl w:val="1"/>
              <w:rPr>
                <w:rFonts w:ascii="宋体" w:hAnsi="宋体" w:cs="宋体"/>
                <w:szCs w:val="21"/>
              </w:rPr>
            </w:pPr>
          </w:p>
        </w:tc>
      </w:tr>
      <w:tr w14:paraId="3C9B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vMerge w:val="restart"/>
            <w:tcBorders>
              <w:top w:val="single" w:color="auto" w:sz="4" w:space="0"/>
              <w:left w:val="single" w:color="auto" w:sz="4" w:space="0"/>
              <w:right w:val="single" w:color="auto" w:sz="4" w:space="0"/>
            </w:tcBorders>
            <w:noWrap/>
            <w:vAlign w:val="center"/>
          </w:tcPr>
          <w:p w14:paraId="12C24097">
            <w:pPr>
              <w:snapToGrid w:val="0"/>
              <w:spacing w:line="360" w:lineRule="auto"/>
              <w:jc w:val="center"/>
              <w:outlineLvl w:val="1"/>
              <w:rPr>
                <w:rFonts w:ascii="宋体" w:hAnsi="宋体" w:cs="宋体"/>
                <w:szCs w:val="21"/>
              </w:rPr>
            </w:pPr>
            <w:r>
              <w:rPr>
                <w:rFonts w:hint="eastAsia" w:ascii="宋体" w:hAnsi="宋体" w:cs="宋体"/>
                <w:szCs w:val="21"/>
              </w:rPr>
              <w:t>5楼负压手术室</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0068DAAC">
            <w:pPr>
              <w:snapToGrid w:val="0"/>
              <w:spacing w:line="360" w:lineRule="auto"/>
              <w:jc w:val="center"/>
              <w:outlineLvl w:val="1"/>
              <w:rPr>
                <w:rFonts w:ascii="宋体" w:hAnsi="宋体" w:cs="宋体"/>
                <w:szCs w:val="21"/>
              </w:rPr>
            </w:pPr>
            <w:r>
              <w:rPr>
                <w:rFonts w:hint="eastAsia" w:ascii="宋体" w:hAnsi="宋体" w:cs="宋体"/>
                <w:szCs w:val="21"/>
              </w:rPr>
              <w:t>3台机组，10台冷源机组，6台排风机组</w:t>
            </w:r>
          </w:p>
        </w:tc>
        <w:tc>
          <w:tcPr>
            <w:tcW w:w="1019" w:type="dxa"/>
            <w:tcBorders>
              <w:top w:val="single" w:color="auto" w:sz="4" w:space="0"/>
              <w:left w:val="single" w:color="auto" w:sz="4" w:space="0"/>
              <w:bottom w:val="single" w:color="auto" w:sz="4" w:space="0"/>
              <w:right w:val="single" w:color="auto" w:sz="4" w:space="0"/>
            </w:tcBorders>
            <w:noWrap/>
            <w:vAlign w:val="center"/>
          </w:tcPr>
          <w:p w14:paraId="6DC1A931">
            <w:pPr>
              <w:snapToGrid w:val="0"/>
              <w:spacing w:line="360" w:lineRule="auto"/>
              <w:jc w:val="center"/>
              <w:outlineLvl w:val="1"/>
              <w:rPr>
                <w:rFonts w:ascii="宋体" w:hAnsi="宋体" w:cs="宋体"/>
                <w:szCs w:val="21"/>
              </w:rPr>
            </w:pPr>
            <w:r>
              <w:rPr>
                <w:rFonts w:hint="eastAsia" w:ascii="宋体" w:hAnsi="宋体" w:cs="宋体"/>
                <w:szCs w:val="21"/>
              </w:rPr>
              <w:t>2间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51968035">
            <w:pPr>
              <w:snapToGrid w:val="0"/>
              <w:spacing w:line="360" w:lineRule="auto"/>
              <w:jc w:val="center"/>
              <w:outlineLvl w:val="1"/>
              <w:rPr>
                <w:rFonts w:ascii="宋体" w:hAnsi="宋体" w:cs="宋体"/>
                <w:szCs w:val="21"/>
              </w:rPr>
            </w:pPr>
            <w:r>
              <w:rPr>
                <w:rFonts w:hint="eastAsia" w:ascii="宋体" w:hAnsi="宋体" w:cs="宋体"/>
                <w:szCs w:val="21"/>
              </w:rPr>
              <w:t>18#.19#</w:t>
            </w:r>
          </w:p>
        </w:tc>
        <w:tc>
          <w:tcPr>
            <w:tcW w:w="1284" w:type="dxa"/>
            <w:tcBorders>
              <w:top w:val="single" w:color="auto" w:sz="4" w:space="0"/>
              <w:left w:val="single" w:color="auto" w:sz="4" w:space="0"/>
              <w:bottom w:val="single" w:color="auto" w:sz="4" w:space="0"/>
              <w:right w:val="single" w:color="auto" w:sz="4" w:space="0"/>
            </w:tcBorders>
            <w:noWrap/>
            <w:vAlign w:val="center"/>
          </w:tcPr>
          <w:p w14:paraId="4D24A89C">
            <w:pPr>
              <w:snapToGrid w:val="0"/>
              <w:spacing w:line="360" w:lineRule="auto"/>
              <w:jc w:val="center"/>
              <w:outlineLvl w:val="1"/>
              <w:rPr>
                <w:rFonts w:ascii="宋体" w:hAnsi="宋体" w:cs="宋体"/>
                <w:szCs w:val="21"/>
              </w:rPr>
            </w:pPr>
            <w:r>
              <w:rPr>
                <w:rFonts w:hint="eastAsia" w:ascii="宋体" w:hAnsi="宋体" w:cs="宋体"/>
                <w:szCs w:val="21"/>
              </w:rPr>
              <w:t>万级</w:t>
            </w:r>
          </w:p>
        </w:tc>
      </w:tr>
      <w:tr w14:paraId="6EE9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vMerge w:val="continue"/>
            <w:tcBorders>
              <w:left w:val="single" w:color="auto" w:sz="4" w:space="0"/>
              <w:bottom w:val="single" w:color="auto" w:sz="4" w:space="0"/>
              <w:right w:val="single" w:color="auto" w:sz="4" w:space="0"/>
            </w:tcBorders>
            <w:noWrap/>
            <w:vAlign w:val="center"/>
          </w:tcPr>
          <w:p w14:paraId="141D3988">
            <w:pPr>
              <w:snapToGrid w:val="0"/>
              <w:spacing w:line="360" w:lineRule="auto"/>
              <w:jc w:val="center"/>
              <w:outlineLvl w:val="1"/>
              <w:rPr>
                <w:rFonts w:ascii="宋体" w:hAnsi="宋体" w:cs="宋体"/>
                <w:szCs w:val="21"/>
              </w:rPr>
            </w:pP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2521EF8C">
            <w:pPr>
              <w:snapToGrid w:val="0"/>
              <w:spacing w:line="360" w:lineRule="auto"/>
              <w:jc w:val="center"/>
              <w:outlineLvl w:val="1"/>
              <w:rPr>
                <w:rFonts w:ascii="宋体" w:hAnsi="宋体" w:cs="宋体"/>
                <w:szCs w:val="21"/>
              </w:rPr>
            </w:pPr>
            <w:r>
              <w:rPr>
                <w:rFonts w:hint="eastAsia" w:ascii="宋体" w:hAnsi="宋体" w:cs="宋体"/>
                <w:szCs w:val="21"/>
              </w:rPr>
              <w:t>7扇自动门</w:t>
            </w:r>
          </w:p>
        </w:tc>
        <w:tc>
          <w:tcPr>
            <w:tcW w:w="1019" w:type="dxa"/>
            <w:tcBorders>
              <w:top w:val="single" w:color="auto" w:sz="4" w:space="0"/>
              <w:left w:val="single" w:color="auto" w:sz="4" w:space="0"/>
              <w:bottom w:val="single" w:color="auto" w:sz="4" w:space="0"/>
              <w:right w:val="single" w:color="auto" w:sz="4" w:space="0"/>
            </w:tcBorders>
            <w:noWrap/>
            <w:vAlign w:val="center"/>
          </w:tcPr>
          <w:p w14:paraId="3A8C1863">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761A0F28">
            <w:pPr>
              <w:snapToGrid w:val="0"/>
              <w:spacing w:line="360" w:lineRule="auto"/>
              <w:jc w:val="center"/>
              <w:outlineLvl w:val="1"/>
              <w:rPr>
                <w:rFonts w:ascii="宋体" w:hAnsi="宋体" w:cs="宋体"/>
                <w:szCs w:val="21"/>
              </w:rPr>
            </w:pPr>
          </w:p>
        </w:tc>
        <w:tc>
          <w:tcPr>
            <w:tcW w:w="1284" w:type="dxa"/>
            <w:tcBorders>
              <w:top w:val="single" w:color="auto" w:sz="4" w:space="0"/>
              <w:left w:val="single" w:color="auto" w:sz="4" w:space="0"/>
              <w:bottom w:val="single" w:color="auto" w:sz="4" w:space="0"/>
              <w:right w:val="single" w:color="auto" w:sz="4" w:space="0"/>
            </w:tcBorders>
            <w:noWrap/>
            <w:vAlign w:val="center"/>
          </w:tcPr>
          <w:p w14:paraId="285D4310">
            <w:pPr>
              <w:snapToGrid w:val="0"/>
              <w:spacing w:line="360" w:lineRule="auto"/>
              <w:jc w:val="center"/>
              <w:outlineLvl w:val="1"/>
              <w:rPr>
                <w:rFonts w:ascii="宋体" w:hAnsi="宋体" w:cs="宋体"/>
                <w:szCs w:val="21"/>
              </w:rPr>
            </w:pPr>
          </w:p>
        </w:tc>
      </w:tr>
      <w:tr w14:paraId="0881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4D8D298A">
            <w:pPr>
              <w:snapToGrid w:val="0"/>
              <w:spacing w:line="360" w:lineRule="auto"/>
              <w:jc w:val="center"/>
              <w:outlineLvl w:val="1"/>
              <w:rPr>
                <w:rFonts w:ascii="宋体" w:hAnsi="宋体" w:cs="宋体"/>
                <w:szCs w:val="21"/>
              </w:rPr>
            </w:pPr>
            <w:r>
              <w:rPr>
                <w:rFonts w:hint="eastAsia" w:ascii="宋体" w:hAnsi="宋体" w:cs="宋体"/>
                <w:szCs w:val="21"/>
              </w:rPr>
              <w:t>PICU负压病房</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662E0744">
            <w:pPr>
              <w:snapToGrid w:val="0"/>
              <w:spacing w:line="360" w:lineRule="auto"/>
              <w:jc w:val="center"/>
              <w:outlineLvl w:val="1"/>
              <w:rPr>
                <w:rFonts w:ascii="宋体" w:hAnsi="宋体" w:cs="宋体"/>
                <w:szCs w:val="21"/>
              </w:rPr>
            </w:pPr>
            <w:r>
              <w:rPr>
                <w:rFonts w:hint="eastAsia" w:ascii="宋体" w:hAnsi="宋体" w:cs="宋体"/>
                <w:szCs w:val="21"/>
              </w:rPr>
              <w:t>1台机组、1台排风机组，3台冷源机组</w:t>
            </w:r>
          </w:p>
        </w:tc>
        <w:tc>
          <w:tcPr>
            <w:tcW w:w="1019" w:type="dxa"/>
            <w:tcBorders>
              <w:top w:val="single" w:color="auto" w:sz="4" w:space="0"/>
              <w:left w:val="single" w:color="auto" w:sz="4" w:space="0"/>
              <w:bottom w:val="single" w:color="auto" w:sz="4" w:space="0"/>
              <w:right w:val="single" w:color="auto" w:sz="4" w:space="0"/>
            </w:tcBorders>
            <w:noWrap/>
            <w:vAlign w:val="center"/>
          </w:tcPr>
          <w:p w14:paraId="1B066BD5">
            <w:pPr>
              <w:snapToGrid w:val="0"/>
              <w:spacing w:line="360" w:lineRule="auto"/>
              <w:jc w:val="center"/>
              <w:outlineLvl w:val="1"/>
              <w:rPr>
                <w:rFonts w:ascii="宋体" w:hAnsi="宋体" w:cs="宋体"/>
                <w:szCs w:val="21"/>
              </w:rPr>
            </w:pPr>
            <w:r>
              <w:rPr>
                <w:rFonts w:hint="eastAsia" w:ascii="宋体" w:hAnsi="宋体" w:cs="宋体"/>
                <w:szCs w:val="21"/>
              </w:rPr>
              <w:t>5间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5299C403">
            <w:pPr>
              <w:snapToGrid w:val="0"/>
              <w:spacing w:line="360" w:lineRule="auto"/>
              <w:jc w:val="center"/>
              <w:outlineLvl w:val="1"/>
              <w:rPr>
                <w:rFonts w:ascii="宋体" w:hAnsi="宋体" w:cs="宋体"/>
                <w:szCs w:val="21"/>
              </w:rPr>
            </w:pPr>
          </w:p>
        </w:tc>
        <w:tc>
          <w:tcPr>
            <w:tcW w:w="1284" w:type="dxa"/>
            <w:tcBorders>
              <w:top w:val="single" w:color="auto" w:sz="4" w:space="0"/>
              <w:left w:val="single" w:color="auto" w:sz="4" w:space="0"/>
              <w:bottom w:val="single" w:color="auto" w:sz="4" w:space="0"/>
              <w:right w:val="single" w:color="auto" w:sz="4" w:space="0"/>
            </w:tcBorders>
            <w:noWrap/>
            <w:vAlign w:val="center"/>
          </w:tcPr>
          <w:p w14:paraId="1D9B7F9A">
            <w:pPr>
              <w:snapToGrid w:val="0"/>
              <w:spacing w:line="360" w:lineRule="auto"/>
              <w:jc w:val="center"/>
              <w:outlineLvl w:val="1"/>
              <w:rPr>
                <w:rFonts w:ascii="宋体" w:hAnsi="宋体" w:cs="宋体"/>
                <w:szCs w:val="21"/>
              </w:rPr>
            </w:pPr>
            <w:r>
              <w:rPr>
                <w:rFonts w:hint="eastAsia" w:ascii="宋体" w:hAnsi="宋体" w:cs="宋体"/>
                <w:szCs w:val="21"/>
              </w:rPr>
              <w:t>十万级</w:t>
            </w:r>
          </w:p>
        </w:tc>
      </w:tr>
      <w:tr w14:paraId="7770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1BFDBD84">
            <w:pPr>
              <w:snapToGrid w:val="0"/>
              <w:spacing w:line="360" w:lineRule="auto"/>
              <w:jc w:val="center"/>
              <w:outlineLvl w:val="1"/>
              <w:rPr>
                <w:rFonts w:ascii="宋体" w:hAnsi="宋体" w:cs="宋体"/>
                <w:szCs w:val="21"/>
              </w:rPr>
            </w:pPr>
            <w:r>
              <w:rPr>
                <w:rFonts w:hint="eastAsia" w:ascii="宋体" w:hAnsi="宋体" w:cs="宋体"/>
                <w:szCs w:val="21"/>
              </w:rPr>
              <w:t>PICU负压病房</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440D0D9F">
            <w:pPr>
              <w:snapToGrid w:val="0"/>
              <w:spacing w:line="360" w:lineRule="auto"/>
              <w:jc w:val="center"/>
              <w:outlineLvl w:val="1"/>
              <w:rPr>
                <w:rFonts w:ascii="宋体" w:hAnsi="宋体" w:cs="宋体"/>
                <w:szCs w:val="21"/>
              </w:rPr>
            </w:pPr>
            <w:r>
              <w:rPr>
                <w:rFonts w:hint="eastAsia" w:ascii="宋体" w:hAnsi="宋体" w:cs="宋体"/>
                <w:szCs w:val="21"/>
              </w:rPr>
              <w:t>10扇自动门</w:t>
            </w:r>
          </w:p>
        </w:tc>
        <w:tc>
          <w:tcPr>
            <w:tcW w:w="1019" w:type="dxa"/>
            <w:tcBorders>
              <w:top w:val="single" w:color="auto" w:sz="4" w:space="0"/>
              <w:left w:val="single" w:color="auto" w:sz="4" w:space="0"/>
              <w:bottom w:val="single" w:color="auto" w:sz="4" w:space="0"/>
              <w:right w:val="single" w:color="auto" w:sz="4" w:space="0"/>
            </w:tcBorders>
            <w:noWrap/>
            <w:vAlign w:val="center"/>
          </w:tcPr>
          <w:p w14:paraId="1DCD3529">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7B4E86D3">
            <w:pPr>
              <w:snapToGrid w:val="0"/>
              <w:spacing w:line="360" w:lineRule="auto"/>
              <w:jc w:val="center"/>
              <w:outlineLvl w:val="1"/>
              <w:rPr>
                <w:rFonts w:ascii="宋体" w:hAnsi="宋体" w:cs="宋体"/>
                <w:szCs w:val="21"/>
              </w:rPr>
            </w:pPr>
          </w:p>
        </w:tc>
        <w:tc>
          <w:tcPr>
            <w:tcW w:w="1284" w:type="dxa"/>
            <w:tcBorders>
              <w:top w:val="single" w:color="auto" w:sz="4" w:space="0"/>
              <w:left w:val="single" w:color="auto" w:sz="4" w:space="0"/>
              <w:bottom w:val="single" w:color="auto" w:sz="4" w:space="0"/>
              <w:right w:val="single" w:color="auto" w:sz="4" w:space="0"/>
            </w:tcBorders>
            <w:noWrap/>
            <w:vAlign w:val="center"/>
          </w:tcPr>
          <w:p w14:paraId="46697F2C">
            <w:pPr>
              <w:snapToGrid w:val="0"/>
              <w:spacing w:line="360" w:lineRule="auto"/>
              <w:jc w:val="center"/>
              <w:outlineLvl w:val="1"/>
              <w:rPr>
                <w:rFonts w:ascii="宋体" w:hAnsi="宋体" w:cs="宋体"/>
                <w:szCs w:val="21"/>
              </w:rPr>
            </w:pPr>
          </w:p>
        </w:tc>
      </w:tr>
      <w:tr w14:paraId="4EAB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939" w:type="dxa"/>
            <w:gridSpan w:val="7"/>
            <w:tcBorders>
              <w:top w:val="single" w:color="auto" w:sz="4" w:space="0"/>
              <w:left w:val="single" w:color="auto" w:sz="4" w:space="0"/>
              <w:bottom w:val="single" w:color="auto" w:sz="4" w:space="0"/>
              <w:right w:val="single" w:color="auto" w:sz="4" w:space="0"/>
            </w:tcBorders>
            <w:noWrap/>
            <w:vAlign w:val="center"/>
          </w:tcPr>
          <w:p w14:paraId="0A4B2C21">
            <w:pPr>
              <w:snapToGrid w:val="0"/>
              <w:spacing w:line="360" w:lineRule="auto"/>
              <w:jc w:val="left"/>
              <w:outlineLvl w:val="1"/>
              <w:rPr>
                <w:rFonts w:ascii="宋体" w:hAnsi="宋体" w:cs="宋体"/>
                <w:b/>
                <w:bCs/>
                <w:szCs w:val="21"/>
              </w:rPr>
            </w:pPr>
            <w:r>
              <w:rPr>
                <w:rFonts w:hint="eastAsia" w:ascii="宋体" w:hAnsi="宋体" w:cs="宋体"/>
                <w:b/>
                <w:bCs/>
                <w:szCs w:val="21"/>
              </w:rPr>
              <w:t>A栋门诊楼</w:t>
            </w:r>
          </w:p>
        </w:tc>
      </w:tr>
      <w:tr w14:paraId="56E0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vMerge w:val="restart"/>
            <w:tcBorders>
              <w:top w:val="single" w:color="auto" w:sz="4" w:space="0"/>
              <w:left w:val="single" w:color="auto" w:sz="4" w:space="0"/>
              <w:right w:val="single" w:color="auto" w:sz="4" w:space="0"/>
            </w:tcBorders>
            <w:noWrap/>
            <w:vAlign w:val="center"/>
          </w:tcPr>
          <w:p w14:paraId="43118498">
            <w:pPr>
              <w:snapToGrid w:val="0"/>
              <w:spacing w:line="360" w:lineRule="auto"/>
              <w:jc w:val="center"/>
              <w:outlineLvl w:val="1"/>
              <w:rPr>
                <w:rFonts w:ascii="宋体" w:hAnsi="宋体" w:cs="宋体"/>
                <w:szCs w:val="21"/>
              </w:rPr>
            </w:pPr>
            <w:r>
              <w:rPr>
                <w:rFonts w:hint="eastAsia" w:ascii="宋体" w:hAnsi="宋体" w:cs="宋体"/>
                <w:szCs w:val="21"/>
              </w:rPr>
              <w:t>血液病房</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0ED0F8DB">
            <w:pPr>
              <w:snapToGrid w:val="0"/>
              <w:spacing w:line="360" w:lineRule="auto"/>
              <w:jc w:val="center"/>
              <w:outlineLvl w:val="1"/>
              <w:rPr>
                <w:rFonts w:ascii="宋体" w:hAnsi="宋体" w:cs="宋体"/>
                <w:szCs w:val="21"/>
              </w:rPr>
            </w:pPr>
            <w:r>
              <w:rPr>
                <w:rFonts w:hint="eastAsia" w:ascii="宋体" w:hAnsi="宋体" w:cs="宋体"/>
                <w:szCs w:val="21"/>
              </w:rPr>
              <w:t>33台风柜</w:t>
            </w:r>
          </w:p>
        </w:tc>
        <w:tc>
          <w:tcPr>
            <w:tcW w:w="1019" w:type="dxa"/>
            <w:tcBorders>
              <w:top w:val="single" w:color="auto" w:sz="4" w:space="0"/>
              <w:left w:val="single" w:color="auto" w:sz="4" w:space="0"/>
              <w:bottom w:val="single" w:color="auto" w:sz="4" w:space="0"/>
              <w:right w:val="single" w:color="auto" w:sz="4" w:space="0"/>
            </w:tcBorders>
            <w:noWrap/>
            <w:vAlign w:val="center"/>
          </w:tcPr>
          <w:p w14:paraId="0973DCBC">
            <w:pPr>
              <w:snapToGrid w:val="0"/>
              <w:spacing w:line="360" w:lineRule="auto"/>
              <w:jc w:val="center"/>
              <w:outlineLvl w:val="1"/>
              <w:rPr>
                <w:rFonts w:ascii="宋体" w:hAnsi="宋体" w:cs="宋体"/>
                <w:szCs w:val="21"/>
              </w:rPr>
            </w:pPr>
            <w:r>
              <w:rPr>
                <w:rFonts w:hint="eastAsia" w:ascii="宋体" w:hAnsi="宋体" w:cs="宋体"/>
                <w:szCs w:val="21"/>
              </w:rPr>
              <w:t>26间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13AFB58F">
            <w:pPr>
              <w:snapToGrid w:val="0"/>
              <w:spacing w:line="360" w:lineRule="auto"/>
              <w:jc w:val="center"/>
              <w:outlineLvl w:val="1"/>
              <w:rPr>
                <w:rFonts w:ascii="宋体" w:hAnsi="宋体" w:cs="宋体"/>
                <w:szCs w:val="21"/>
              </w:rPr>
            </w:pPr>
          </w:p>
        </w:tc>
        <w:tc>
          <w:tcPr>
            <w:tcW w:w="1284" w:type="dxa"/>
            <w:tcBorders>
              <w:top w:val="single" w:color="auto" w:sz="4" w:space="0"/>
              <w:left w:val="single" w:color="auto" w:sz="4" w:space="0"/>
              <w:bottom w:val="single" w:color="auto" w:sz="4" w:space="0"/>
              <w:right w:val="single" w:color="auto" w:sz="4" w:space="0"/>
            </w:tcBorders>
            <w:noWrap/>
            <w:vAlign w:val="center"/>
          </w:tcPr>
          <w:p w14:paraId="24005E19">
            <w:pPr>
              <w:snapToGrid w:val="0"/>
              <w:spacing w:line="360" w:lineRule="auto"/>
              <w:jc w:val="center"/>
              <w:outlineLvl w:val="1"/>
              <w:rPr>
                <w:rFonts w:ascii="宋体" w:hAnsi="宋体" w:cs="宋体"/>
                <w:szCs w:val="21"/>
              </w:rPr>
            </w:pPr>
            <w:r>
              <w:rPr>
                <w:rFonts w:hint="eastAsia" w:ascii="宋体" w:hAnsi="宋体" w:cs="宋体"/>
                <w:szCs w:val="21"/>
              </w:rPr>
              <w:t>百级</w:t>
            </w:r>
          </w:p>
        </w:tc>
      </w:tr>
      <w:tr w14:paraId="5EDB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vMerge w:val="continue"/>
            <w:tcBorders>
              <w:left w:val="single" w:color="auto" w:sz="4" w:space="0"/>
              <w:bottom w:val="single" w:color="auto" w:sz="4" w:space="0"/>
              <w:right w:val="single" w:color="auto" w:sz="4" w:space="0"/>
            </w:tcBorders>
            <w:noWrap/>
            <w:vAlign w:val="center"/>
          </w:tcPr>
          <w:p w14:paraId="0184ED5B">
            <w:pPr>
              <w:snapToGrid w:val="0"/>
              <w:spacing w:line="360" w:lineRule="auto"/>
              <w:jc w:val="center"/>
              <w:outlineLvl w:val="1"/>
              <w:rPr>
                <w:rFonts w:ascii="宋体" w:hAnsi="宋体" w:cs="宋体"/>
                <w:szCs w:val="21"/>
              </w:rPr>
            </w:pP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305D13D5">
            <w:pPr>
              <w:snapToGrid w:val="0"/>
              <w:spacing w:line="360" w:lineRule="auto"/>
              <w:jc w:val="center"/>
              <w:outlineLvl w:val="1"/>
              <w:rPr>
                <w:rFonts w:ascii="宋体" w:hAnsi="宋体" w:cs="宋体"/>
                <w:szCs w:val="21"/>
              </w:rPr>
            </w:pPr>
            <w:r>
              <w:rPr>
                <w:rFonts w:hint="eastAsia" w:ascii="宋体" w:hAnsi="宋体" w:cs="宋体"/>
                <w:szCs w:val="21"/>
              </w:rPr>
              <w:t>自动门53扇</w:t>
            </w:r>
          </w:p>
        </w:tc>
        <w:tc>
          <w:tcPr>
            <w:tcW w:w="1019" w:type="dxa"/>
            <w:tcBorders>
              <w:top w:val="single" w:color="auto" w:sz="4" w:space="0"/>
              <w:left w:val="single" w:color="auto" w:sz="4" w:space="0"/>
              <w:bottom w:val="single" w:color="auto" w:sz="4" w:space="0"/>
              <w:right w:val="single" w:color="auto" w:sz="4" w:space="0"/>
            </w:tcBorders>
            <w:noWrap/>
            <w:vAlign w:val="center"/>
          </w:tcPr>
          <w:p w14:paraId="7C75FD05">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05DF7AC6">
            <w:pPr>
              <w:snapToGrid w:val="0"/>
              <w:spacing w:line="360" w:lineRule="auto"/>
              <w:jc w:val="center"/>
              <w:outlineLvl w:val="1"/>
              <w:rPr>
                <w:rFonts w:ascii="宋体" w:hAnsi="宋体" w:cs="宋体"/>
                <w:szCs w:val="21"/>
              </w:rPr>
            </w:pPr>
          </w:p>
        </w:tc>
        <w:tc>
          <w:tcPr>
            <w:tcW w:w="1284" w:type="dxa"/>
            <w:tcBorders>
              <w:top w:val="single" w:color="auto" w:sz="4" w:space="0"/>
              <w:left w:val="single" w:color="auto" w:sz="4" w:space="0"/>
              <w:bottom w:val="single" w:color="auto" w:sz="4" w:space="0"/>
              <w:right w:val="single" w:color="auto" w:sz="4" w:space="0"/>
            </w:tcBorders>
            <w:noWrap/>
            <w:vAlign w:val="center"/>
          </w:tcPr>
          <w:p w14:paraId="246D3AFB">
            <w:pPr>
              <w:snapToGrid w:val="0"/>
              <w:spacing w:line="360" w:lineRule="auto"/>
              <w:jc w:val="center"/>
              <w:outlineLvl w:val="1"/>
              <w:rPr>
                <w:rFonts w:ascii="宋体" w:hAnsi="宋体" w:cs="宋体"/>
                <w:szCs w:val="21"/>
              </w:rPr>
            </w:pPr>
          </w:p>
        </w:tc>
      </w:tr>
      <w:tr w14:paraId="0D2C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40DE344A">
            <w:pPr>
              <w:snapToGrid w:val="0"/>
              <w:spacing w:line="360" w:lineRule="auto"/>
              <w:jc w:val="center"/>
              <w:outlineLvl w:val="1"/>
              <w:rPr>
                <w:rFonts w:ascii="宋体" w:hAnsi="宋体" w:cs="宋体"/>
                <w:szCs w:val="21"/>
              </w:rPr>
            </w:pPr>
            <w:r>
              <w:rPr>
                <w:rFonts w:hint="eastAsia" w:ascii="宋体" w:hAnsi="宋体" w:cs="宋体"/>
                <w:szCs w:val="21"/>
              </w:rPr>
              <w:t>儿科研究所</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19560DCD">
            <w:pPr>
              <w:snapToGrid w:val="0"/>
              <w:spacing w:line="360" w:lineRule="auto"/>
              <w:jc w:val="center"/>
              <w:outlineLvl w:val="1"/>
              <w:rPr>
                <w:rFonts w:ascii="宋体" w:hAnsi="宋体" w:cs="宋体"/>
                <w:szCs w:val="21"/>
              </w:rPr>
            </w:pPr>
            <w:r>
              <w:rPr>
                <w:rFonts w:hint="eastAsia" w:ascii="宋体" w:hAnsi="宋体" w:cs="宋体"/>
                <w:szCs w:val="21"/>
              </w:rPr>
              <w:t>2台风柜</w:t>
            </w:r>
          </w:p>
        </w:tc>
        <w:tc>
          <w:tcPr>
            <w:tcW w:w="1019" w:type="dxa"/>
            <w:tcBorders>
              <w:top w:val="single" w:color="auto" w:sz="4" w:space="0"/>
              <w:left w:val="single" w:color="auto" w:sz="4" w:space="0"/>
              <w:bottom w:val="single" w:color="auto" w:sz="4" w:space="0"/>
              <w:right w:val="single" w:color="auto" w:sz="4" w:space="0"/>
            </w:tcBorders>
            <w:noWrap/>
            <w:vAlign w:val="center"/>
          </w:tcPr>
          <w:p w14:paraId="0DED7D43">
            <w:pPr>
              <w:snapToGrid w:val="0"/>
              <w:spacing w:line="360" w:lineRule="auto"/>
              <w:jc w:val="center"/>
              <w:outlineLvl w:val="1"/>
              <w:rPr>
                <w:rFonts w:ascii="宋体" w:hAnsi="宋体" w:cs="宋体"/>
                <w:szCs w:val="21"/>
              </w:rPr>
            </w:pPr>
            <w:r>
              <w:rPr>
                <w:rFonts w:hint="eastAsia" w:ascii="宋体" w:hAnsi="宋体" w:cs="宋体"/>
                <w:szCs w:val="21"/>
              </w:rPr>
              <w:t>4间</w:t>
            </w:r>
          </w:p>
        </w:tc>
        <w:tc>
          <w:tcPr>
            <w:tcW w:w="2496" w:type="dxa"/>
            <w:tcBorders>
              <w:top w:val="single" w:color="auto" w:sz="4" w:space="0"/>
              <w:left w:val="single" w:color="auto" w:sz="4" w:space="0"/>
              <w:bottom w:val="single" w:color="auto" w:sz="4" w:space="0"/>
              <w:right w:val="single" w:color="auto" w:sz="4" w:space="0"/>
            </w:tcBorders>
            <w:noWrap/>
            <w:vAlign w:val="center"/>
          </w:tcPr>
          <w:p w14:paraId="4A431307">
            <w:pPr>
              <w:snapToGrid w:val="0"/>
              <w:spacing w:line="360" w:lineRule="auto"/>
              <w:jc w:val="center"/>
              <w:outlineLvl w:val="1"/>
              <w:rPr>
                <w:rFonts w:ascii="宋体" w:hAnsi="宋体" w:cs="宋体"/>
                <w:szCs w:val="21"/>
              </w:rPr>
            </w:pPr>
          </w:p>
        </w:tc>
        <w:tc>
          <w:tcPr>
            <w:tcW w:w="1284" w:type="dxa"/>
            <w:tcBorders>
              <w:top w:val="single" w:color="auto" w:sz="4" w:space="0"/>
              <w:left w:val="single" w:color="auto" w:sz="4" w:space="0"/>
              <w:bottom w:val="single" w:color="auto" w:sz="4" w:space="0"/>
              <w:right w:val="single" w:color="auto" w:sz="4" w:space="0"/>
            </w:tcBorders>
            <w:noWrap/>
            <w:vAlign w:val="center"/>
          </w:tcPr>
          <w:p w14:paraId="38EB9A20">
            <w:pPr>
              <w:snapToGrid w:val="0"/>
              <w:spacing w:line="360" w:lineRule="auto"/>
              <w:jc w:val="center"/>
              <w:outlineLvl w:val="1"/>
              <w:rPr>
                <w:rFonts w:ascii="宋体" w:hAnsi="宋体" w:cs="宋体"/>
                <w:szCs w:val="21"/>
              </w:rPr>
            </w:pPr>
            <w:r>
              <w:rPr>
                <w:rFonts w:hint="eastAsia" w:ascii="宋体" w:hAnsi="宋体" w:cs="宋体"/>
                <w:szCs w:val="21"/>
              </w:rPr>
              <w:t>拾万级</w:t>
            </w:r>
          </w:p>
        </w:tc>
      </w:tr>
      <w:tr w14:paraId="3DBC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7726C7D2">
            <w:pPr>
              <w:snapToGrid w:val="0"/>
              <w:spacing w:line="360" w:lineRule="auto"/>
              <w:jc w:val="center"/>
              <w:outlineLvl w:val="1"/>
              <w:rPr>
                <w:rFonts w:ascii="宋体" w:hAnsi="宋体" w:cs="宋体"/>
                <w:szCs w:val="21"/>
              </w:rPr>
            </w:pPr>
            <w:r>
              <w:rPr>
                <w:rFonts w:hint="eastAsia" w:ascii="宋体" w:hAnsi="宋体" w:cs="宋体"/>
                <w:szCs w:val="21"/>
              </w:rPr>
              <w:t>楼顶天台</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12419267">
            <w:pPr>
              <w:snapToGrid w:val="0"/>
              <w:spacing w:line="360" w:lineRule="auto"/>
              <w:jc w:val="center"/>
              <w:outlineLvl w:val="1"/>
              <w:rPr>
                <w:rFonts w:ascii="宋体" w:hAnsi="宋体" w:cs="宋体"/>
                <w:szCs w:val="21"/>
              </w:rPr>
            </w:pPr>
            <w:r>
              <w:rPr>
                <w:rFonts w:hint="eastAsia" w:ascii="宋体" w:hAnsi="宋体" w:cs="宋体"/>
                <w:szCs w:val="21"/>
              </w:rPr>
              <w:t>12台室外冷源机组，水泵6台</w:t>
            </w:r>
          </w:p>
        </w:tc>
        <w:tc>
          <w:tcPr>
            <w:tcW w:w="1019" w:type="dxa"/>
            <w:tcBorders>
              <w:top w:val="single" w:color="auto" w:sz="4" w:space="0"/>
              <w:left w:val="single" w:color="auto" w:sz="4" w:space="0"/>
              <w:bottom w:val="single" w:color="auto" w:sz="4" w:space="0"/>
              <w:right w:val="single" w:color="auto" w:sz="4" w:space="0"/>
            </w:tcBorders>
            <w:noWrap/>
            <w:vAlign w:val="center"/>
          </w:tcPr>
          <w:p w14:paraId="1C167150">
            <w:pPr>
              <w:snapToGrid w:val="0"/>
              <w:spacing w:line="360" w:lineRule="auto"/>
              <w:jc w:val="center"/>
              <w:outlineLvl w:val="1"/>
              <w:rPr>
                <w:rFonts w:ascii="宋体" w:hAnsi="宋体" w:cs="宋体"/>
                <w:szCs w:val="21"/>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16A633FA">
            <w:pPr>
              <w:snapToGrid w:val="0"/>
              <w:spacing w:line="360" w:lineRule="auto"/>
              <w:jc w:val="center"/>
              <w:outlineLvl w:val="1"/>
              <w:rPr>
                <w:rFonts w:ascii="宋体" w:hAnsi="宋体" w:cs="宋体"/>
                <w:szCs w:val="21"/>
              </w:rPr>
            </w:pPr>
          </w:p>
          <w:p w14:paraId="4D0B3955"/>
        </w:tc>
        <w:tc>
          <w:tcPr>
            <w:tcW w:w="1284" w:type="dxa"/>
            <w:tcBorders>
              <w:top w:val="single" w:color="auto" w:sz="4" w:space="0"/>
              <w:left w:val="single" w:color="auto" w:sz="4" w:space="0"/>
              <w:bottom w:val="single" w:color="auto" w:sz="4" w:space="0"/>
              <w:right w:val="single" w:color="auto" w:sz="4" w:space="0"/>
            </w:tcBorders>
            <w:noWrap/>
            <w:vAlign w:val="center"/>
          </w:tcPr>
          <w:p w14:paraId="7E206CC1">
            <w:pPr>
              <w:snapToGrid w:val="0"/>
              <w:spacing w:line="360" w:lineRule="auto"/>
              <w:jc w:val="center"/>
              <w:outlineLvl w:val="1"/>
              <w:rPr>
                <w:rFonts w:ascii="宋体" w:hAnsi="宋体" w:cs="宋体"/>
                <w:szCs w:val="21"/>
              </w:rPr>
            </w:pPr>
          </w:p>
        </w:tc>
      </w:tr>
      <w:tr w14:paraId="1425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513B2C31">
            <w:pPr>
              <w:snapToGrid w:val="0"/>
              <w:spacing w:line="360" w:lineRule="auto"/>
              <w:jc w:val="center"/>
              <w:outlineLvl w:val="1"/>
              <w:rPr>
                <w:rFonts w:ascii="宋体" w:hAnsi="宋体" w:cs="宋体"/>
                <w:szCs w:val="21"/>
              </w:rPr>
            </w:pPr>
            <w:r>
              <w:rPr>
                <w:rFonts w:hint="eastAsia" w:ascii="宋体" w:hAnsi="宋体" w:cs="宋体"/>
                <w:szCs w:val="21"/>
              </w:rPr>
              <w:t>发热门诊、内镜中心（3间）</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583CD08E">
            <w:pPr>
              <w:snapToGrid w:val="0"/>
              <w:spacing w:line="360" w:lineRule="auto"/>
              <w:jc w:val="center"/>
              <w:outlineLvl w:val="1"/>
              <w:rPr>
                <w:rFonts w:ascii="宋体" w:hAnsi="宋体" w:cs="宋体"/>
                <w:szCs w:val="21"/>
              </w:rPr>
            </w:pPr>
            <w:r>
              <w:rPr>
                <w:rFonts w:hint="eastAsia" w:ascii="宋体" w:hAnsi="宋体" w:cs="宋体"/>
                <w:szCs w:val="21"/>
              </w:rPr>
              <w:t>2台风柜机组，4个排风机组</w:t>
            </w:r>
          </w:p>
        </w:tc>
        <w:tc>
          <w:tcPr>
            <w:tcW w:w="1019" w:type="dxa"/>
            <w:tcBorders>
              <w:top w:val="single" w:color="auto" w:sz="4" w:space="0"/>
              <w:left w:val="single" w:color="auto" w:sz="4" w:space="0"/>
              <w:bottom w:val="single" w:color="auto" w:sz="4" w:space="0"/>
              <w:right w:val="single" w:color="auto" w:sz="4" w:space="0"/>
            </w:tcBorders>
            <w:noWrap/>
            <w:vAlign w:val="center"/>
          </w:tcPr>
          <w:p w14:paraId="5BC5E207">
            <w:pPr>
              <w:snapToGrid w:val="0"/>
              <w:spacing w:line="360" w:lineRule="auto"/>
              <w:jc w:val="center"/>
              <w:outlineLvl w:val="1"/>
              <w:rPr>
                <w:rFonts w:ascii="宋体" w:hAnsi="宋体" w:cs="宋体"/>
                <w:szCs w:val="21"/>
                <w:highlight w:val="green"/>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40659DD5">
            <w:pPr>
              <w:snapToGrid w:val="0"/>
              <w:spacing w:line="360" w:lineRule="auto"/>
              <w:jc w:val="center"/>
              <w:outlineLvl w:val="1"/>
              <w:rPr>
                <w:rFonts w:ascii="宋体" w:hAnsi="宋体" w:cs="宋体"/>
                <w:szCs w:val="21"/>
                <w:highlight w:val="green"/>
              </w:rPr>
            </w:pPr>
          </w:p>
          <w:p w14:paraId="1B55C917"/>
        </w:tc>
        <w:tc>
          <w:tcPr>
            <w:tcW w:w="1284" w:type="dxa"/>
            <w:tcBorders>
              <w:top w:val="single" w:color="auto" w:sz="4" w:space="0"/>
              <w:left w:val="single" w:color="auto" w:sz="4" w:space="0"/>
              <w:bottom w:val="single" w:color="auto" w:sz="4" w:space="0"/>
              <w:right w:val="single" w:color="auto" w:sz="4" w:space="0"/>
            </w:tcBorders>
            <w:noWrap/>
            <w:vAlign w:val="center"/>
          </w:tcPr>
          <w:p w14:paraId="11EEB60C">
            <w:pPr>
              <w:snapToGrid w:val="0"/>
              <w:spacing w:line="360" w:lineRule="auto"/>
              <w:jc w:val="center"/>
              <w:outlineLvl w:val="1"/>
              <w:rPr>
                <w:rFonts w:ascii="宋体" w:hAnsi="宋体" w:cs="宋体"/>
                <w:szCs w:val="21"/>
                <w:highlight w:val="green"/>
              </w:rPr>
            </w:pPr>
          </w:p>
        </w:tc>
      </w:tr>
      <w:tr w14:paraId="77EC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527F0601">
            <w:pPr>
              <w:snapToGrid w:val="0"/>
              <w:spacing w:line="360" w:lineRule="auto"/>
              <w:jc w:val="center"/>
              <w:outlineLvl w:val="1"/>
              <w:rPr>
                <w:rFonts w:ascii="宋体" w:hAnsi="宋体" w:cs="宋体"/>
                <w:szCs w:val="21"/>
              </w:rPr>
            </w:pPr>
            <w:r>
              <w:rPr>
                <w:rFonts w:hint="eastAsia" w:ascii="宋体" w:hAnsi="宋体" w:cs="宋体"/>
                <w:szCs w:val="21"/>
              </w:rPr>
              <w:t>负压病房</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3125AA3D">
            <w:pPr>
              <w:snapToGrid w:val="0"/>
              <w:spacing w:line="360" w:lineRule="auto"/>
              <w:jc w:val="center"/>
              <w:outlineLvl w:val="1"/>
              <w:rPr>
                <w:rFonts w:ascii="宋体" w:hAnsi="宋体" w:cs="宋体"/>
                <w:szCs w:val="21"/>
              </w:rPr>
            </w:pPr>
            <w:r>
              <w:rPr>
                <w:rFonts w:hint="eastAsia" w:ascii="宋体" w:hAnsi="宋体" w:cs="宋体"/>
                <w:szCs w:val="21"/>
              </w:rPr>
              <w:t>4台风柜机组</w:t>
            </w:r>
          </w:p>
        </w:tc>
        <w:tc>
          <w:tcPr>
            <w:tcW w:w="1019" w:type="dxa"/>
            <w:tcBorders>
              <w:top w:val="single" w:color="auto" w:sz="4" w:space="0"/>
              <w:left w:val="single" w:color="auto" w:sz="4" w:space="0"/>
              <w:bottom w:val="single" w:color="auto" w:sz="4" w:space="0"/>
              <w:right w:val="single" w:color="auto" w:sz="4" w:space="0"/>
            </w:tcBorders>
            <w:noWrap/>
            <w:vAlign w:val="center"/>
          </w:tcPr>
          <w:p w14:paraId="4C9DE10A">
            <w:pPr>
              <w:snapToGrid w:val="0"/>
              <w:spacing w:line="360" w:lineRule="auto"/>
              <w:jc w:val="center"/>
              <w:outlineLvl w:val="1"/>
              <w:rPr>
                <w:rFonts w:ascii="宋体" w:hAnsi="宋体" w:cs="宋体"/>
                <w:szCs w:val="21"/>
                <w:highlight w:val="green"/>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6D903C85">
            <w:pPr>
              <w:snapToGrid w:val="0"/>
              <w:spacing w:line="360" w:lineRule="auto"/>
              <w:jc w:val="center"/>
              <w:outlineLvl w:val="1"/>
              <w:rPr>
                <w:rFonts w:ascii="宋体" w:hAnsi="宋体" w:cs="宋体"/>
                <w:szCs w:val="21"/>
                <w:highlight w:val="green"/>
              </w:rPr>
            </w:pPr>
          </w:p>
          <w:p w14:paraId="79485210"/>
        </w:tc>
        <w:tc>
          <w:tcPr>
            <w:tcW w:w="1284" w:type="dxa"/>
            <w:tcBorders>
              <w:top w:val="single" w:color="auto" w:sz="4" w:space="0"/>
              <w:left w:val="single" w:color="auto" w:sz="4" w:space="0"/>
              <w:bottom w:val="single" w:color="auto" w:sz="4" w:space="0"/>
              <w:right w:val="single" w:color="auto" w:sz="4" w:space="0"/>
            </w:tcBorders>
            <w:noWrap/>
            <w:vAlign w:val="center"/>
          </w:tcPr>
          <w:p w14:paraId="59B6A203">
            <w:pPr>
              <w:snapToGrid w:val="0"/>
              <w:spacing w:line="360" w:lineRule="auto"/>
              <w:jc w:val="center"/>
              <w:outlineLvl w:val="1"/>
              <w:rPr>
                <w:rFonts w:ascii="宋体" w:hAnsi="宋体" w:cs="宋体"/>
                <w:szCs w:val="21"/>
                <w:highlight w:val="green"/>
              </w:rPr>
            </w:pPr>
          </w:p>
        </w:tc>
      </w:tr>
      <w:tr w14:paraId="2802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noWrap/>
            <w:vAlign w:val="center"/>
          </w:tcPr>
          <w:p w14:paraId="593BE3BC">
            <w:pPr>
              <w:snapToGrid w:val="0"/>
              <w:spacing w:line="360" w:lineRule="auto"/>
              <w:jc w:val="center"/>
              <w:outlineLvl w:val="1"/>
              <w:rPr>
                <w:rFonts w:ascii="宋体" w:hAnsi="宋体" w:cs="宋体"/>
                <w:szCs w:val="21"/>
              </w:rPr>
            </w:pPr>
            <w:r>
              <w:rPr>
                <w:rFonts w:hint="eastAsia" w:ascii="宋体" w:hAnsi="宋体" w:cs="宋体"/>
                <w:szCs w:val="21"/>
              </w:rPr>
              <w:t>楼顶及天台</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14:paraId="30559C08">
            <w:pPr>
              <w:snapToGrid w:val="0"/>
              <w:spacing w:line="360" w:lineRule="auto"/>
              <w:jc w:val="center"/>
              <w:outlineLvl w:val="1"/>
              <w:rPr>
                <w:rFonts w:ascii="宋体" w:hAnsi="宋体" w:cs="宋体"/>
                <w:szCs w:val="21"/>
              </w:rPr>
            </w:pPr>
            <w:r>
              <w:rPr>
                <w:rFonts w:hint="eastAsia" w:ascii="宋体" w:hAnsi="宋体" w:cs="宋体"/>
                <w:szCs w:val="21"/>
              </w:rPr>
              <w:t>10台冷源机组，3台热泵机组</w:t>
            </w:r>
          </w:p>
        </w:tc>
        <w:tc>
          <w:tcPr>
            <w:tcW w:w="1019" w:type="dxa"/>
            <w:tcBorders>
              <w:top w:val="single" w:color="auto" w:sz="4" w:space="0"/>
              <w:left w:val="single" w:color="auto" w:sz="4" w:space="0"/>
              <w:bottom w:val="single" w:color="auto" w:sz="4" w:space="0"/>
              <w:right w:val="single" w:color="auto" w:sz="4" w:space="0"/>
            </w:tcBorders>
            <w:noWrap/>
            <w:vAlign w:val="center"/>
          </w:tcPr>
          <w:p w14:paraId="06DB4A7A">
            <w:pPr>
              <w:snapToGrid w:val="0"/>
              <w:spacing w:line="360" w:lineRule="auto"/>
              <w:jc w:val="center"/>
              <w:outlineLvl w:val="1"/>
              <w:rPr>
                <w:rFonts w:ascii="宋体" w:hAnsi="宋体" w:cs="宋体"/>
                <w:szCs w:val="21"/>
                <w:highlight w:val="green"/>
              </w:rPr>
            </w:pPr>
          </w:p>
        </w:tc>
        <w:tc>
          <w:tcPr>
            <w:tcW w:w="2496" w:type="dxa"/>
            <w:tcBorders>
              <w:top w:val="single" w:color="auto" w:sz="4" w:space="0"/>
              <w:left w:val="single" w:color="auto" w:sz="4" w:space="0"/>
              <w:bottom w:val="single" w:color="auto" w:sz="4" w:space="0"/>
              <w:right w:val="single" w:color="auto" w:sz="4" w:space="0"/>
            </w:tcBorders>
            <w:noWrap/>
            <w:vAlign w:val="center"/>
          </w:tcPr>
          <w:p w14:paraId="508B234C">
            <w:pPr>
              <w:snapToGrid w:val="0"/>
              <w:spacing w:line="360" w:lineRule="auto"/>
              <w:jc w:val="center"/>
              <w:outlineLvl w:val="1"/>
              <w:rPr>
                <w:rFonts w:ascii="宋体" w:hAnsi="宋体" w:cs="宋体"/>
                <w:szCs w:val="21"/>
                <w:highlight w:val="green"/>
              </w:rPr>
            </w:pPr>
          </w:p>
          <w:p w14:paraId="57A633E6"/>
        </w:tc>
        <w:tc>
          <w:tcPr>
            <w:tcW w:w="1284" w:type="dxa"/>
            <w:tcBorders>
              <w:top w:val="single" w:color="auto" w:sz="4" w:space="0"/>
              <w:left w:val="single" w:color="auto" w:sz="4" w:space="0"/>
              <w:bottom w:val="single" w:color="auto" w:sz="4" w:space="0"/>
              <w:right w:val="single" w:color="auto" w:sz="4" w:space="0"/>
            </w:tcBorders>
            <w:noWrap/>
            <w:vAlign w:val="center"/>
          </w:tcPr>
          <w:p w14:paraId="676D5A39">
            <w:pPr>
              <w:snapToGrid w:val="0"/>
              <w:spacing w:line="360" w:lineRule="auto"/>
              <w:jc w:val="center"/>
              <w:outlineLvl w:val="1"/>
              <w:rPr>
                <w:rFonts w:ascii="宋体" w:hAnsi="宋体" w:cs="宋体"/>
                <w:szCs w:val="21"/>
                <w:highlight w:val="green"/>
              </w:rPr>
            </w:pPr>
          </w:p>
        </w:tc>
      </w:tr>
    </w:tbl>
    <w:p w14:paraId="3B0C0F32">
      <w:pPr>
        <w:pStyle w:val="39"/>
        <w:spacing w:before="0" w:after="0" w:line="360" w:lineRule="auto"/>
        <w:ind w:firstLine="422" w:firstLineChars="200"/>
        <w:jc w:val="both"/>
        <w:rPr>
          <w:rFonts w:ascii="宋体" w:hAnsi="宋体" w:eastAsia="宋体" w:cs="宋体"/>
          <w:sz w:val="21"/>
          <w:szCs w:val="21"/>
        </w:rPr>
      </w:pPr>
      <w:r>
        <w:rPr>
          <w:rFonts w:hint="eastAsia" w:ascii="宋体" w:hAnsi="宋体" w:eastAsia="宋体" w:cs="宋体"/>
          <w:sz w:val="21"/>
          <w:szCs w:val="21"/>
        </w:rPr>
        <w:t>2、东门临建楼2楼检验科实验室</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此项不纳入“采购需求响应情况”评审</w:t>
      </w:r>
      <w:r>
        <w:rPr>
          <w:rFonts w:hint="eastAsia" w:ascii="宋体" w:hAnsi="宋体" w:eastAsia="宋体" w:cs="宋体"/>
          <w:color w:val="FF0000"/>
          <w:sz w:val="21"/>
          <w:szCs w:val="21"/>
          <w:lang w:eastAsia="zh-CN"/>
        </w:rPr>
        <w:t>）</w:t>
      </w:r>
      <w:r>
        <w:rPr>
          <w:rFonts w:hint="eastAsia" w:ascii="宋体" w:hAnsi="宋体" w:eastAsia="宋体" w:cs="宋体"/>
          <w:color w:val="auto"/>
          <w:sz w:val="21"/>
          <w:szCs w:val="21"/>
          <w:lang w:eastAsia="zh-CN"/>
        </w:rPr>
        <w:t>：</w:t>
      </w:r>
    </w:p>
    <w:tbl>
      <w:tblPr>
        <w:tblStyle w:val="42"/>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878"/>
        <w:gridCol w:w="707"/>
        <w:gridCol w:w="847"/>
        <w:gridCol w:w="1328"/>
        <w:gridCol w:w="804"/>
        <w:gridCol w:w="964"/>
        <w:gridCol w:w="1190"/>
        <w:gridCol w:w="771"/>
      </w:tblGrid>
      <w:tr w14:paraId="47F8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0" w:type="dxa"/>
            <w:tcBorders>
              <w:top w:val="single" w:color="auto" w:sz="4" w:space="0"/>
              <w:left w:val="single" w:color="auto" w:sz="4" w:space="0"/>
              <w:bottom w:val="single" w:color="auto" w:sz="4" w:space="0"/>
              <w:right w:val="single" w:color="auto" w:sz="4" w:space="0"/>
            </w:tcBorders>
            <w:noWrap/>
            <w:vAlign w:val="center"/>
          </w:tcPr>
          <w:p w14:paraId="600E7225">
            <w:pPr>
              <w:snapToGrid w:val="0"/>
              <w:spacing w:line="360" w:lineRule="auto"/>
              <w:jc w:val="center"/>
              <w:outlineLvl w:val="1"/>
              <w:rPr>
                <w:rFonts w:ascii="宋体" w:hAnsi="宋体" w:cs="宋体"/>
                <w:b/>
                <w:bCs/>
                <w:szCs w:val="21"/>
              </w:rPr>
            </w:pPr>
            <w:r>
              <w:rPr>
                <w:rFonts w:hint="eastAsia" w:ascii="宋体" w:hAnsi="宋体" w:cs="宋体"/>
                <w:b/>
                <w:bCs/>
                <w:szCs w:val="21"/>
              </w:rPr>
              <w:t>科室</w:t>
            </w:r>
          </w:p>
        </w:tc>
        <w:tc>
          <w:tcPr>
            <w:tcW w:w="878" w:type="dxa"/>
            <w:tcBorders>
              <w:top w:val="single" w:color="auto" w:sz="4" w:space="0"/>
              <w:left w:val="single" w:color="auto" w:sz="4" w:space="0"/>
              <w:bottom w:val="single" w:color="auto" w:sz="4" w:space="0"/>
              <w:right w:val="single" w:color="auto" w:sz="4" w:space="0"/>
            </w:tcBorders>
            <w:noWrap/>
            <w:vAlign w:val="center"/>
          </w:tcPr>
          <w:p w14:paraId="2CEA646D">
            <w:pPr>
              <w:snapToGrid w:val="0"/>
              <w:spacing w:line="360" w:lineRule="auto"/>
              <w:jc w:val="center"/>
              <w:outlineLvl w:val="1"/>
              <w:rPr>
                <w:rFonts w:ascii="宋体" w:hAnsi="宋体" w:cs="宋体"/>
                <w:b/>
                <w:bCs/>
                <w:szCs w:val="21"/>
              </w:rPr>
            </w:pPr>
            <w:r>
              <w:rPr>
                <w:rFonts w:hint="eastAsia" w:ascii="宋体" w:hAnsi="宋体" w:cs="宋体"/>
                <w:b/>
                <w:bCs/>
                <w:szCs w:val="21"/>
              </w:rPr>
              <w:t>净化风柜机组</w:t>
            </w:r>
          </w:p>
        </w:tc>
        <w:tc>
          <w:tcPr>
            <w:tcW w:w="707" w:type="dxa"/>
            <w:tcBorders>
              <w:top w:val="single" w:color="auto" w:sz="4" w:space="0"/>
              <w:left w:val="single" w:color="auto" w:sz="4" w:space="0"/>
              <w:bottom w:val="single" w:color="auto" w:sz="4" w:space="0"/>
              <w:right w:val="single" w:color="auto" w:sz="4" w:space="0"/>
            </w:tcBorders>
            <w:noWrap/>
            <w:vAlign w:val="center"/>
          </w:tcPr>
          <w:p w14:paraId="3E0718DE">
            <w:pPr>
              <w:snapToGrid w:val="0"/>
              <w:spacing w:line="360" w:lineRule="auto"/>
              <w:jc w:val="center"/>
              <w:outlineLvl w:val="1"/>
              <w:rPr>
                <w:rFonts w:ascii="宋体" w:hAnsi="宋体" w:cs="宋体"/>
                <w:b/>
                <w:bCs/>
                <w:szCs w:val="21"/>
              </w:rPr>
            </w:pPr>
            <w:r>
              <w:rPr>
                <w:rFonts w:hint="eastAsia" w:ascii="宋体" w:hAnsi="宋体" w:cs="宋体"/>
                <w:b/>
                <w:bCs/>
                <w:szCs w:val="21"/>
              </w:rPr>
              <w:t>室外机组</w:t>
            </w:r>
          </w:p>
        </w:tc>
        <w:tc>
          <w:tcPr>
            <w:tcW w:w="847" w:type="dxa"/>
            <w:tcBorders>
              <w:top w:val="single" w:color="auto" w:sz="4" w:space="0"/>
              <w:left w:val="single" w:color="auto" w:sz="4" w:space="0"/>
              <w:bottom w:val="single" w:color="auto" w:sz="4" w:space="0"/>
              <w:right w:val="single" w:color="auto" w:sz="4" w:space="0"/>
            </w:tcBorders>
            <w:noWrap/>
            <w:vAlign w:val="center"/>
          </w:tcPr>
          <w:p w14:paraId="012D8423">
            <w:pPr>
              <w:snapToGrid w:val="0"/>
              <w:spacing w:line="360" w:lineRule="auto"/>
              <w:jc w:val="center"/>
              <w:outlineLvl w:val="1"/>
              <w:rPr>
                <w:rFonts w:ascii="宋体" w:hAnsi="宋体" w:cs="宋体"/>
                <w:b/>
                <w:bCs/>
                <w:szCs w:val="21"/>
              </w:rPr>
            </w:pPr>
            <w:r>
              <w:rPr>
                <w:rFonts w:hint="eastAsia" w:ascii="宋体" w:hAnsi="宋体" w:cs="宋体"/>
                <w:b/>
                <w:bCs/>
                <w:szCs w:val="21"/>
              </w:rPr>
              <w:t>自控柜</w:t>
            </w:r>
          </w:p>
        </w:tc>
        <w:tc>
          <w:tcPr>
            <w:tcW w:w="1328" w:type="dxa"/>
            <w:tcBorders>
              <w:top w:val="single" w:color="auto" w:sz="4" w:space="0"/>
              <w:left w:val="single" w:color="auto" w:sz="4" w:space="0"/>
              <w:bottom w:val="single" w:color="auto" w:sz="4" w:space="0"/>
              <w:right w:val="single" w:color="auto" w:sz="4" w:space="0"/>
            </w:tcBorders>
            <w:noWrap/>
            <w:vAlign w:val="center"/>
          </w:tcPr>
          <w:p w14:paraId="1D2CD159">
            <w:pPr>
              <w:snapToGrid w:val="0"/>
              <w:spacing w:line="360" w:lineRule="auto"/>
              <w:jc w:val="center"/>
              <w:outlineLvl w:val="1"/>
              <w:rPr>
                <w:rFonts w:ascii="宋体" w:hAnsi="宋体" w:cs="宋体"/>
                <w:b/>
                <w:bCs/>
                <w:szCs w:val="21"/>
              </w:rPr>
            </w:pPr>
            <w:r>
              <w:rPr>
                <w:rFonts w:hint="eastAsia" w:ascii="宋体" w:hAnsi="宋体" w:cs="宋体"/>
                <w:b/>
                <w:bCs/>
                <w:szCs w:val="21"/>
              </w:rPr>
              <w:t>远程控制屏</w:t>
            </w:r>
          </w:p>
        </w:tc>
        <w:tc>
          <w:tcPr>
            <w:tcW w:w="804" w:type="dxa"/>
            <w:tcBorders>
              <w:top w:val="single" w:color="auto" w:sz="4" w:space="0"/>
              <w:left w:val="single" w:color="auto" w:sz="4" w:space="0"/>
              <w:bottom w:val="single" w:color="auto" w:sz="4" w:space="0"/>
              <w:right w:val="single" w:color="auto" w:sz="4" w:space="0"/>
            </w:tcBorders>
            <w:noWrap/>
            <w:vAlign w:val="center"/>
          </w:tcPr>
          <w:p w14:paraId="49F3CFF0">
            <w:pPr>
              <w:snapToGrid w:val="0"/>
              <w:spacing w:line="360" w:lineRule="auto"/>
              <w:jc w:val="center"/>
              <w:outlineLvl w:val="1"/>
              <w:rPr>
                <w:rFonts w:ascii="宋体" w:hAnsi="宋体" w:cs="宋体"/>
                <w:b/>
                <w:bCs/>
                <w:szCs w:val="21"/>
              </w:rPr>
            </w:pPr>
            <w:r>
              <w:rPr>
                <w:rFonts w:hint="eastAsia" w:ascii="宋体" w:hAnsi="宋体" w:cs="宋体"/>
                <w:b/>
                <w:bCs/>
                <w:szCs w:val="21"/>
              </w:rPr>
              <w:t>配电柜</w:t>
            </w:r>
          </w:p>
        </w:tc>
        <w:tc>
          <w:tcPr>
            <w:tcW w:w="964" w:type="dxa"/>
            <w:tcBorders>
              <w:top w:val="single" w:color="auto" w:sz="4" w:space="0"/>
              <w:left w:val="single" w:color="auto" w:sz="4" w:space="0"/>
              <w:bottom w:val="single" w:color="auto" w:sz="4" w:space="0"/>
              <w:right w:val="single" w:color="auto" w:sz="4" w:space="0"/>
            </w:tcBorders>
            <w:noWrap/>
            <w:vAlign w:val="center"/>
          </w:tcPr>
          <w:p w14:paraId="2FBFD0F4">
            <w:pPr>
              <w:snapToGrid w:val="0"/>
              <w:spacing w:line="360" w:lineRule="auto"/>
              <w:jc w:val="center"/>
              <w:outlineLvl w:val="1"/>
              <w:rPr>
                <w:rFonts w:ascii="宋体" w:hAnsi="宋体" w:cs="宋体"/>
                <w:b/>
                <w:bCs/>
                <w:szCs w:val="21"/>
              </w:rPr>
            </w:pPr>
            <w:r>
              <w:rPr>
                <w:rFonts w:hint="eastAsia" w:ascii="宋体" w:hAnsi="宋体" w:cs="宋体"/>
                <w:b/>
                <w:bCs/>
                <w:szCs w:val="21"/>
              </w:rPr>
              <w:t>情报面板</w:t>
            </w:r>
          </w:p>
        </w:tc>
        <w:tc>
          <w:tcPr>
            <w:tcW w:w="1190" w:type="dxa"/>
            <w:tcBorders>
              <w:top w:val="single" w:color="auto" w:sz="4" w:space="0"/>
              <w:left w:val="single" w:color="auto" w:sz="4" w:space="0"/>
              <w:bottom w:val="single" w:color="auto" w:sz="4" w:space="0"/>
              <w:right w:val="single" w:color="auto" w:sz="4" w:space="0"/>
            </w:tcBorders>
            <w:noWrap/>
            <w:vAlign w:val="center"/>
          </w:tcPr>
          <w:p w14:paraId="6B57A2EA">
            <w:pPr>
              <w:snapToGrid w:val="0"/>
              <w:spacing w:line="360" w:lineRule="auto"/>
              <w:jc w:val="center"/>
              <w:outlineLvl w:val="1"/>
              <w:rPr>
                <w:rFonts w:ascii="宋体" w:hAnsi="宋体" w:cs="宋体"/>
                <w:b/>
                <w:bCs/>
                <w:szCs w:val="21"/>
              </w:rPr>
            </w:pPr>
            <w:r>
              <w:rPr>
                <w:rFonts w:hint="eastAsia" w:ascii="宋体" w:hAnsi="宋体" w:cs="宋体"/>
                <w:b/>
                <w:bCs/>
                <w:szCs w:val="21"/>
              </w:rPr>
              <w:t>净化房间数</w:t>
            </w:r>
          </w:p>
        </w:tc>
        <w:tc>
          <w:tcPr>
            <w:tcW w:w="771" w:type="dxa"/>
            <w:tcBorders>
              <w:top w:val="single" w:color="auto" w:sz="4" w:space="0"/>
              <w:left w:val="single" w:color="auto" w:sz="4" w:space="0"/>
              <w:bottom w:val="single" w:color="auto" w:sz="4" w:space="0"/>
              <w:right w:val="single" w:color="auto" w:sz="4" w:space="0"/>
            </w:tcBorders>
            <w:noWrap/>
            <w:vAlign w:val="center"/>
          </w:tcPr>
          <w:p w14:paraId="069923ED">
            <w:pPr>
              <w:snapToGrid w:val="0"/>
              <w:spacing w:line="360" w:lineRule="auto"/>
              <w:jc w:val="center"/>
              <w:outlineLvl w:val="1"/>
              <w:rPr>
                <w:rFonts w:ascii="宋体" w:hAnsi="宋体" w:cs="宋体"/>
                <w:b/>
                <w:bCs/>
                <w:szCs w:val="21"/>
              </w:rPr>
            </w:pPr>
            <w:r>
              <w:rPr>
                <w:rFonts w:hint="eastAsia" w:ascii="宋体" w:hAnsi="宋体" w:cs="宋体"/>
                <w:b/>
                <w:bCs/>
                <w:szCs w:val="21"/>
              </w:rPr>
              <w:t>级别</w:t>
            </w:r>
          </w:p>
        </w:tc>
      </w:tr>
      <w:tr w14:paraId="711A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0" w:type="dxa"/>
            <w:tcBorders>
              <w:top w:val="single" w:color="auto" w:sz="4" w:space="0"/>
              <w:left w:val="single" w:color="auto" w:sz="4" w:space="0"/>
              <w:bottom w:val="single" w:color="auto" w:sz="4" w:space="0"/>
              <w:right w:val="single" w:color="auto" w:sz="4" w:space="0"/>
            </w:tcBorders>
            <w:noWrap/>
            <w:vAlign w:val="center"/>
          </w:tcPr>
          <w:p w14:paraId="75A1A382">
            <w:pPr>
              <w:snapToGrid w:val="0"/>
              <w:spacing w:line="360" w:lineRule="auto"/>
              <w:jc w:val="center"/>
              <w:outlineLvl w:val="1"/>
              <w:rPr>
                <w:rFonts w:ascii="宋体" w:hAnsi="宋体" w:cs="宋体"/>
                <w:szCs w:val="21"/>
              </w:rPr>
            </w:pPr>
            <w:r>
              <w:rPr>
                <w:rFonts w:hint="eastAsia" w:ascii="宋体" w:hAnsi="宋体" w:cs="宋体"/>
                <w:szCs w:val="21"/>
              </w:rPr>
              <w:t>2楼检验科实验室</w:t>
            </w:r>
          </w:p>
        </w:tc>
        <w:tc>
          <w:tcPr>
            <w:tcW w:w="878" w:type="dxa"/>
            <w:tcBorders>
              <w:top w:val="single" w:color="auto" w:sz="4" w:space="0"/>
              <w:left w:val="single" w:color="auto" w:sz="4" w:space="0"/>
              <w:bottom w:val="single" w:color="auto" w:sz="4" w:space="0"/>
              <w:right w:val="single" w:color="auto" w:sz="4" w:space="0"/>
            </w:tcBorders>
            <w:noWrap/>
            <w:vAlign w:val="center"/>
          </w:tcPr>
          <w:p w14:paraId="55363B1B">
            <w:pPr>
              <w:snapToGrid w:val="0"/>
              <w:spacing w:line="360" w:lineRule="auto"/>
              <w:jc w:val="center"/>
              <w:outlineLvl w:val="1"/>
              <w:rPr>
                <w:rFonts w:ascii="宋体" w:hAnsi="宋体" w:cs="宋体"/>
                <w:szCs w:val="21"/>
              </w:rPr>
            </w:pPr>
            <w:r>
              <w:rPr>
                <w:rFonts w:hint="eastAsia" w:ascii="宋体" w:hAnsi="宋体" w:cs="宋体"/>
                <w:szCs w:val="21"/>
              </w:rPr>
              <w:t>4台</w:t>
            </w:r>
          </w:p>
        </w:tc>
        <w:tc>
          <w:tcPr>
            <w:tcW w:w="707" w:type="dxa"/>
            <w:tcBorders>
              <w:top w:val="single" w:color="auto" w:sz="4" w:space="0"/>
              <w:left w:val="single" w:color="auto" w:sz="4" w:space="0"/>
              <w:bottom w:val="single" w:color="auto" w:sz="4" w:space="0"/>
              <w:right w:val="single" w:color="auto" w:sz="4" w:space="0"/>
            </w:tcBorders>
            <w:noWrap/>
            <w:vAlign w:val="center"/>
          </w:tcPr>
          <w:p w14:paraId="49B4C194">
            <w:pPr>
              <w:snapToGrid w:val="0"/>
              <w:spacing w:line="360" w:lineRule="auto"/>
              <w:jc w:val="center"/>
              <w:outlineLvl w:val="1"/>
              <w:rPr>
                <w:rFonts w:ascii="宋体" w:hAnsi="宋体" w:cs="宋体"/>
                <w:szCs w:val="21"/>
              </w:rPr>
            </w:pPr>
            <w:r>
              <w:rPr>
                <w:rFonts w:hint="eastAsia" w:ascii="宋体" w:hAnsi="宋体" w:cs="宋体"/>
                <w:szCs w:val="21"/>
              </w:rPr>
              <w:t>4台</w:t>
            </w:r>
          </w:p>
        </w:tc>
        <w:tc>
          <w:tcPr>
            <w:tcW w:w="847" w:type="dxa"/>
            <w:tcBorders>
              <w:top w:val="single" w:color="auto" w:sz="4" w:space="0"/>
              <w:left w:val="single" w:color="auto" w:sz="4" w:space="0"/>
              <w:bottom w:val="single" w:color="auto" w:sz="4" w:space="0"/>
              <w:right w:val="single" w:color="auto" w:sz="4" w:space="0"/>
            </w:tcBorders>
            <w:noWrap/>
            <w:vAlign w:val="center"/>
          </w:tcPr>
          <w:p w14:paraId="5194C5AA">
            <w:pPr>
              <w:snapToGrid w:val="0"/>
              <w:spacing w:line="360" w:lineRule="auto"/>
              <w:jc w:val="center"/>
              <w:outlineLvl w:val="1"/>
              <w:rPr>
                <w:rFonts w:ascii="宋体" w:hAnsi="宋体" w:cs="宋体"/>
                <w:szCs w:val="21"/>
              </w:rPr>
            </w:pPr>
            <w:r>
              <w:rPr>
                <w:rFonts w:hint="eastAsia" w:ascii="宋体" w:hAnsi="宋体" w:cs="宋体"/>
                <w:szCs w:val="21"/>
              </w:rPr>
              <w:t>4台</w:t>
            </w:r>
          </w:p>
        </w:tc>
        <w:tc>
          <w:tcPr>
            <w:tcW w:w="1328" w:type="dxa"/>
            <w:tcBorders>
              <w:top w:val="single" w:color="auto" w:sz="4" w:space="0"/>
              <w:left w:val="single" w:color="auto" w:sz="4" w:space="0"/>
              <w:bottom w:val="single" w:color="auto" w:sz="4" w:space="0"/>
              <w:right w:val="single" w:color="auto" w:sz="4" w:space="0"/>
            </w:tcBorders>
            <w:noWrap/>
            <w:vAlign w:val="center"/>
          </w:tcPr>
          <w:p w14:paraId="7D902F37">
            <w:pPr>
              <w:snapToGrid w:val="0"/>
              <w:spacing w:line="360" w:lineRule="auto"/>
              <w:jc w:val="center"/>
              <w:outlineLvl w:val="1"/>
              <w:rPr>
                <w:rFonts w:ascii="宋体" w:hAnsi="宋体" w:cs="宋体"/>
                <w:szCs w:val="21"/>
              </w:rPr>
            </w:pPr>
            <w:r>
              <w:rPr>
                <w:rFonts w:hint="eastAsia" w:ascii="宋体" w:hAnsi="宋体" w:cs="宋体"/>
                <w:szCs w:val="21"/>
              </w:rPr>
              <w:t>2套</w:t>
            </w:r>
          </w:p>
        </w:tc>
        <w:tc>
          <w:tcPr>
            <w:tcW w:w="804" w:type="dxa"/>
            <w:tcBorders>
              <w:top w:val="single" w:color="auto" w:sz="4" w:space="0"/>
              <w:left w:val="single" w:color="auto" w:sz="4" w:space="0"/>
              <w:bottom w:val="single" w:color="auto" w:sz="4" w:space="0"/>
              <w:right w:val="single" w:color="auto" w:sz="4" w:space="0"/>
            </w:tcBorders>
            <w:noWrap/>
            <w:vAlign w:val="center"/>
          </w:tcPr>
          <w:p w14:paraId="7B5E5F18">
            <w:pPr>
              <w:snapToGrid w:val="0"/>
              <w:spacing w:line="360" w:lineRule="auto"/>
              <w:jc w:val="center"/>
              <w:outlineLvl w:val="1"/>
              <w:rPr>
                <w:rFonts w:ascii="宋体" w:hAnsi="宋体" w:cs="宋体"/>
                <w:szCs w:val="21"/>
              </w:rPr>
            </w:pPr>
            <w:r>
              <w:rPr>
                <w:rFonts w:hint="eastAsia" w:ascii="宋体" w:hAnsi="宋体" w:cs="宋体"/>
                <w:szCs w:val="21"/>
              </w:rPr>
              <w:t>3台</w:t>
            </w:r>
          </w:p>
        </w:tc>
        <w:tc>
          <w:tcPr>
            <w:tcW w:w="964" w:type="dxa"/>
            <w:tcBorders>
              <w:top w:val="single" w:color="auto" w:sz="4" w:space="0"/>
              <w:left w:val="single" w:color="auto" w:sz="4" w:space="0"/>
              <w:bottom w:val="single" w:color="auto" w:sz="4" w:space="0"/>
              <w:right w:val="single" w:color="auto" w:sz="4" w:space="0"/>
            </w:tcBorders>
            <w:noWrap/>
            <w:vAlign w:val="center"/>
          </w:tcPr>
          <w:p w14:paraId="145D4A95">
            <w:pPr>
              <w:snapToGrid w:val="0"/>
              <w:spacing w:line="360" w:lineRule="auto"/>
              <w:jc w:val="center"/>
              <w:outlineLvl w:val="1"/>
              <w:rPr>
                <w:rFonts w:ascii="宋体" w:hAnsi="宋体" w:cs="宋体"/>
                <w:szCs w:val="21"/>
              </w:rPr>
            </w:pPr>
            <w:r>
              <w:rPr>
                <w:rFonts w:hint="eastAsia" w:ascii="宋体" w:hAnsi="宋体" w:cs="宋体"/>
                <w:szCs w:val="21"/>
              </w:rPr>
              <w:t>2套</w:t>
            </w:r>
          </w:p>
        </w:tc>
        <w:tc>
          <w:tcPr>
            <w:tcW w:w="1190" w:type="dxa"/>
            <w:tcBorders>
              <w:top w:val="single" w:color="auto" w:sz="4" w:space="0"/>
              <w:left w:val="single" w:color="auto" w:sz="4" w:space="0"/>
              <w:bottom w:val="single" w:color="auto" w:sz="4" w:space="0"/>
              <w:right w:val="single" w:color="auto" w:sz="4" w:space="0"/>
            </w:tcBorders>
            <w:noWrap/>
            <w:vAlign w:val="center"/>
          </w:tcPr>
          <w:p w14:paraId="5C54D78E">
            <w:pPr>
              <w:snapToGrid w:val="0"/>
              <w:spacing w:line="360" w:lineRule="auto"/>
              <w:jc w:val="center"/>
              <w:outlineLvl w:val="1"/>
              <w:rPr>
                <w:rFonts w:ascii="宋体" w:hAnsi="宋体" w:cs="宋体"/>
                <w:szCs w:val="21"/>
              </w:rPr>
            </w:pPr>
            <w:r>
              <w:rPr>
                <w:rFonts w:hint="eastAsia" w:ascii="宋体" w:hAnsi="宋体" w:cs="宋体"/>
                <w:szCs w:val="21"/>
              </w:rPr>
              <w:t>8间</w:t>
            </w:r>
          </w:p>
        </w:tc>
        <w:tc>
          <w:tcPr>
            <w:tcW w:w="771" w:type="dxa"/>
            <w:tcBorders>
              <w:top w:val="single" w:color="auto" w:sz="4" w:space="0"/>
              <w:left w:val="single" w:color="auto" w:sz="4" w:space="0"/>
              <w:bottom w:val="single" w:color="auto" w:sz="4" w:space="0"/>
              <w:right w:val="single" w:color="auto" w:sz="4" w:space="0"/>
            </w:tcBorders>
            <w:noWrap/>
            <w:vAlign w:val="center"/>
          </w:tcPr>
          <w:p w14:paraId="7FD869BC">
            <w:pPr>
              <w:snapToGrid w:val="0"/>
              <w:spacing w:line="360" w:lineRule="auto"/>
              <w:jc w:val="center"/>
              <w:outlineLvl w:val="1"/>
              <w:rPr>
                <w:rFonts w:ascii="宋体" w:hAnsi="宋体" w:cs="宋体"/>
                <w:szCs w:val="21"/>
              </w:rPr>
            </w:pPr>
            <w:r>
              <w:rPr>
                <w:rFonts w:hint="eastAsia" w:ascii="宋体" w:hAnsi="宋体" w:cs="宋体"/>
                <w:szCs w:val="21"/>
              </w:rPr>
              <w:t>十万级</w:t>
            </w:r>
          </w:p>
        </w:tc>
      </w:tr>
    </w:tbl>
    <w:p w14:paraId="58AB14DF">
      <w:pPr>
        <w:pStyle w:val="39"/>
        <w:spacing w:before="0" w:after="0" w:line="360" w:lineRule="auto"/>
        <w:ind w:firstLine="422" w:firstLineChars="200"/>
        <w:jc w:val="both"/>
        <w:rPr>
          <w:rFonts w:ascii="宋体" w:hAnsi="宋体" w:eastAsia="宋体" w:cs="宋体"/>
          <w:sz w:val="21"/>
          <w:szCs w:val="21"/>
        </w:rPr>
      </w:pPr>
      <w:r>
        <w:rPr>
          <w:rFonts w:hint="eastAsia" w:ascii="宋体" w:hAnsi="宋体" w:eastAsia="宋体" w:cs="宋体"/>
          <w:sz w:val="21"/>
          <w:szCs w:val="21"/>
        </w:rPr>
        <w:t>3、龙华院区维保区域主要设备清单</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此项不纳入“采购需求响应情况”评审</w:t>
      </w:r>
      <w:r>
        <w:rPr>
          <w:rFonts w:hint="eastAsia" w:ascii="宋体" w:hAnsi="宋体" w:eastAsia="宋体" w:cs="宋体"/>
          <w:color w:val="FF0000"/>
          <w:sz w:val="21"/>
          <w:szCs w:val="21"/>
          <w:lang w:eastAsia="zh-CN"/>
        </w:rPr>
        <w:t>）</w:t>
      </w:r>
      <w:r>
        <w:rPr>
          <w:rFonts w:hint="eastAsia" w:ascii="宋体" w:hAnsi="宋体" w:eastAsia="宋体" w:cs="宋体"/>
          <w:color w:val="auto"/>
          <w:sz w:val="21"/>
          <w:szCs w:val="21"/>
          <w:lang w:eastAsia="zh-CN"/>
        </w:rPr>
        <w:t>：</w:t>
      </w:r>
    </w:p>
    <w:tbl>
      <w:tblPr>
        <w:tblStyle w:val="42"/>
        <w:tblW w:w="9459" w:type="dxa"/>
        <w:tblInd w:w="96" w:type="dxa"/>
        <w:tblLayout w:type="fixed"/>
        <w:tblCellMar>
          <w:top w:w="0" w:type="dxa"/>
          <w:left w:w="108" w:type="dxa"/>
          <w:bottom w:w="0" w:type="dxa"/>
          <w:right w:w="108" w:type="dxa"/>
        </w:tblCellMar>
      </w:tblPr>
      <w:tblGrid>
        <w:gridCol w:w="1071"/>
        <w:gridCol w:w="1576"/>
        <w:gridCol w:w="1530"/>
        <w:gridCol w:w="1000"/>
        <w:gridCol w:w="4282"/>
      </w:tblGrid>
      <w:tr w14:paraId="0E290EE3">
        <w:tblPrEx>
          <w:tblCellMar>
            <w:top w:w="0" w:type="dxa"/>
            <w:left w:w="108" w:type="dxa"/>
            <w:bottom w:w="0" w:type="dxa"/>
            <w:right w:w="108" w:type="dxa"/>
          </w:tblCellMar>
        </w:tblPrEx>
        <w:trPr>
          <w:trHeight w:val="390" w:hRule="atLeast"/>
        </w:trPr>
        <w:tc>
          <w:tcPr>
            <w:tcW w:w="1071" w:type="dxa"/>
            <w:vMerge w:val="restart"/>
            <w:tcBorders>
              <w:top w:val="single" w:color="000000" w:sz="8" w:space="0"/>
              <w:left w:val="single" w:color="000000" w:sz="8" w:space="0"/>
              <w:bottom w:val="single" w:color="000000" w:sz="4" w:space="0"/>
              <w:right w:val="single" w:color="000000" w:sz="4" w:space="0"/>
            </w:tcBorders>
            <w:vAlign w:val="center"/>
          </w:tcPr>
          <w:p w14:paraId="10A6E18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576" w:type="dxa"/>
            <w:vMerge w:val="restart"/>
            <w:tcBorders>
              <w:top w:val="single" w:color="000000" w:sz="8" w:space="0"/>
              <w:left w:val="single" w:color="000000" w:sz="4" w:space="0"/>
              <w:bottom w:val="single" w:color="000000" w:sz="4" w:space="0"/>
              <w:right w:val="single" w:color="000000" w:sz="4" w:space="0"/>
            </w:tcBorders>
            <w:vAlign w:val="center"/>
          </w:tcPr>
          <w:p w14:paraId="1DE1BA29">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1530" w:type="dxa"/>
            <w:vMerge w:val="restart"/>
            <w:tcBorders>
              <w:top w:val="single" w:color="000000" w:sz="8" w:space="0"/>
              <w:left w:val="single" w:color="000000" w:sz="4" w:space="0"/>
              <w:bottom w:val="single" w:color="000000" w:sz="4" w:space="0"/>
              <w:right w:val="single" w:color="000000" w:sz="4" w:space="0"/>
            </w:tcBorders>
            <w:vAlign w:val="center"/>
          </w:tcPr>
          <w:p w14:paraId="178B1DA9">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状态</w:t>
            </w:r>
          </w:p>
          <w:p w14:paraId="52A3977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（空调机组数量）</w:t>
            </w:r>
          </w:p>
        </w:tc>
        <w:tc>
          <w:tcPr>
            <w:tcW w:w="5282" w:type="dxa"/>
            <w:gridSpan w:val="2"/>
            <w:tcBorders>
              <w:top w:val="single" w:color="000000" w:sz="8" w:space="0"/>
              <w:left w:val="single" w:color="000000" w:sz="4" w:space="0"/>
              <w:bottom w:val="single" w:color="000000" w:sz="4" w:space="0"/>
              <w:right w:val="single" w:color="000000" w:sz="4" w:space="0"/>
            </w:tcBorders>
            <w:vAlign w:val="center"/>
          </w:tcPr>
          <w:p w14:paraId="30ACF83F">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净化房间数量</w:t>
            </w:r>
          </w:p>
        </w:tc>
      </w:tr>
      <w:tr w14:paraId="4231F333">
        <w:tblPrEx>
          <w:tblCellMar>
            <w:top w:w="0" w:type="dxa"/>
            <w:left w:w="108" w:type="dxa"/>
            <w:bottom w:w="0" w:type="dxa"/>
            <w:right w:w="108" w:type="dxa"/>
          </w:tblCellMar>
        </w:tblPrEx>
        <w:trPr>
          <w:trHeight w:val="542" w:hRule="atLeast"/>
        </w:trPr>
        <w:tc>
          <w:tcPr>
            <w:tcW w:w="1071" w:type="dxa"/>
            <w:vMerge w:val="continue"/>
            <w:tcBorders>
              <w:top w:val="single" w:color="000000" w:sz="8" w:space="0"/>
              <w:left w:val="single" w:color="000000" w:sz="8" w:space="0"/>
              <w:bottom w:val="single" w:color="000000" w:sz="4" w:space="0"/>
              <w:right w:val="single" w:color="000000" w:sz="4" w:space="0"/>
            </w:tcBorders>
            <w:vAlign w:val="center"/>
          </w:tcPr>
          <w:p w14:paraId="5597750F">
            <w:pPr>
              <w:jc w:val="center"/>
              <w:rPr>
                <w:rFonts w:ascii="宋体" w:hAnsi="宋体" w:cs="宋体"/>
                <w:b/>
                <w:bCs/>
                <w:color w:val="000000"/>
                <w:szCs w:val="21"/>
              </w:rPr>
            </w:pPr>
          </w:p>
        </w:tc>
        <w:tc>
          <w:tcPr>
            <w:tcW w:w="1576" w:type="dxa"/>
            <w:vMerge w:val="continue"/>
            <w:tcBorders>
              <w:top w:val="single" w:color="000000" w:sz="8" w:space="0"/>
              <w:left w:val="single" w:color="000000" w:sz="4" w:space="0"/>
              <w:bottom w:val="single" w:color="000000" w:sz="4" w:space="0"/>
              <w:right w:val="single" w:color="000000" w:sz="4" w:space="0"/>
            </w:tcBorders>
            <w:vAlign w:val="center"/>
          </w:tcPr>
          <w:p w14:paraId="039C5B8C">
            <w:pPr>
              <w:jc w:val="center"/>
              <w:rPr>
                <w:rFonts w:ascii="宋体" w:hAnsi="宋体" w:cs="宋体"/>
                <w:b/>
                <w:bCs/>
                <w:color w:val="000000"/>
                <w:szCs w:val="21"/>
              </w:rPr>
            </w:pPr>
          </w:p>
        </w:tc>
        <w:tc>
          <w:tcPr>
            <w:tcW w:w="1530" w:type="dxa"/>
            <w:vMerge w:val="continue"/>
            <w:tcBorders>
              <w:top w:val="single" w:color="000000" w:sz="8" w:space="0"/>
              <w:left w:val="single" w:color="000000" w:sz="4" w:space="0"/>
              <w:bottom w:val="single" w:color="000000" w:sz="4" w:space="0"/>
              <w:right w:val="single" w:color="000000" w:sz="4" w:space="0"/>
            </w:tcBorders>
            <w:vAlign w:val="center"/>
          </w:tcPr>
          <w:p w14:paraId="4A9C8B87">
            <w:pPr>
              <w:jc w:val="center"/>
              <w:rPr>
                <w:rFonts w:ascii="宋体" w:hAnsi="宋体" w:cs="宋体"/>
                <w:b/>
                <w:bCs/>
                <w:color w:val="000000"/>
                <w:szCs w:val="21"/>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C15A406">
            <w:pPr>
              <w:jc w:val="center"/>
              <w:rPr>
                <w:rFonts w:ascii="宋体" w:hAnsi="宋体" w:cs="宋体"/>
                <w:b/>
                <w:bCs/>
                <w:color w:val="000000"/>
                <w:szCs w:val="21"/>
              </w:rPr>
            </w:pPr>
            <w:r>
              <w:rPr>
                <w:rFonts w:hint="eastAsia" w:ascii="宋体" w:hAnsi="宋体" w:cs="宋体"/>
                <w:b/>
                <w:bCs/>
                <w:color w:val="000000"/>
                <w:szCs w:val="21"/>
              </w:rPr>
              <w:t>间数</w:t>
            </w:r>
          </w:p>
        </w:tc>
        <w:tc>
          <w:tcPr>
            <w:tcW w:w="4282" w:type="dxa"/>
            <w:tcBorders>
              <w:top w:val="single" w:color="000000" w:sz="4" w:space="0"/>
              <w:left w:val="single" w:color="000000" w:sz="4" w:space="0"/>
              <w:bottom w:val="single" w:color="000000" w:sz="4" w:space="0"/>
              <w:right w:val="single" w:color="000000" w:sz="4" w:space="0"/>
            </w:tcBorders>
            <w:vAlign w:val="center"/>
          </w:tcPr>
          <w:p w14:paraId="6253FED2">
            <w:pPr>
              <w:jc w:val="center"/>
              <w:rPr>
                <w:rFonts w:ascii="宋体" w:hAnsi="宋体" w:cs="宋体"/>
                <w:b/>
                <w:bCs/>
                <w:color w:val="000000"/>
                <w:szCs w:val="21"/>
              </w:rPr>
            </w:pPr>
            <w:r>
              <w:rPr>
                <w:rFonts w:hint="eastAsia" w:ascii="宋体" w:hAnsi="宋体" w:cs="宋体"/>
                <w:b/>
                <w:bCs/>
                <w:color w:val="000000"/>
                <w:szCs w:val="21"/>
              </w:rPr>
              <w:t>区域</w:t>
            </w:r>
          </w:p>
        </w:tc>
      </w:tr>
      <w:tr w14:paraId="78C12653">
        <w:tblPrEx>
          <w:tblCellMar>
            <w:top w:w="0" w:type="dxa"/>
            <w:left w:w="108" w:type="dxa"/>
            <w:bottom w:w="0" w:type="dxa"/>
            <w:right w:w="108" w:type="dxa"/>
          </w:tblCellMar>
        </w:tblPrEx>
        <w:trPr>
          <w:trHeight w:val="922"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14D0703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76" w:type="dxa"/>
            <w:tcBorders>
              <w:top w:val="single" w:color="000000" w:sz="4" w:space="0"/>
              <w:left w:val="single" w:color="000000" w:sz="4" w:space="0"/>
              <w:bottom w:val="single" w:color="000000" w:sz="4" w:space="0"/>
              <w:right w:val="single" w:color="000000" w:sz="4" w:space="0"/>
            </w:tcBorders>
            <w:vAlign w:val="center"/>
          </w:tcPr>
          <w:p w14:paraId="55714C8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病理科PCR</w:t>
            </w:r>
          </w:p>
        </w:tc>
        <w:tc>
          <w:tcPr>
            <w:tcW w:w="1530" w:type="dxa"/>
            <w:tcBorders>
              <w:top w:val="single" w:color="000000" w:sz="4" w:space="0"/>
              <w:left w:val="single" w:color="000000" w:sz="4" w:space="0"/>
              <w:bottom w:val="single" w:color="000000" w:sz="4" w:space="0"/>
              <w:right w:val="single" w:color="000000" w:sz="4" w:space="0"/>
            </w:tcBorders>
            <w:vAlign w:val="center"/>
          </w:tcPr>
          <w:p w14:paraId="7B9A07A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3C52B4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282" w:type="dxa"/>
            <w:tcBorders>
              <w:top w:val="single" w:color="000000" w:sz="4" w:space="0"/>
              <w:left w:val="single" w:color="000000" w:sz="4" w:space="0"/>
              <w:bottom w:val="single" w:color="000000" w:sz="4" w:space="0"/>
              <w:right w:val="single" w:color="000000" w:sz="4" w:space="0"/>
            </w:tcBorders>
            <w:vAlign w:val="center"/>
          </w:tcPr>
          <w:p w14:paraId="28C748C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扩增分析区、产物扩增区、试剂准备区、缓冲区、样本制备、缓冲走廊</w:t>
            </w:r>
          </w:p>
        </w:tc>
      </w:tr>
      <w:tr w14:paraId="4DE95F93">
        <w:tblPrEx>
          <w:tblCellMar>
            <w:top w:w="0" w:type="dxa"/>
            <w:left w:w="108" w:type="dxa"/>
            <w:bottom w:w="0" w:type="dxa"/>
            <w:right w:w="108" w:type="dxa"/>
          </w:tblCellMar>
        </w:tblPrEx>
        <w:trPr>
          <w:trHeight w:val="618"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08D3FBB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576" w:type="dxa"/>
            <w:tcBorders>
              <w:top w:val="single" w:color="000000" w:sz="4" w:space="0"/>
              <w:left w:val="single" w:color="000000" w:sz="4" w:space="0"/>
              <w:bottom w:val="single" w:color="000000" w:sz="4" w:space="0"/>
              <w:right w:val="single" w:color="000000" w:sz="4" w:space="0"/>
            </w:tcBorders>
            <w:vAlign w:val="center"/>
          </w:tcPr>
          <w:p w14:paraId="3F59BA6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检验科PCR</w:t>
            </w:r>
          </w:p>
        </w:tc>
        <w:tc>
          <w:tcPr>
            <w:tcW w:w="1530" w:type="dxa"/>
            <w:tcBorders>
              <w:top w:val="single" w:color="000000" w:sz="4" w:space="0"/>
              <w:left w:val="single" w:color="000000" w:sz="4" w:space="0"/>
              <w:bottom w:val="single" w:color="000000" w:sz="4" w:space="0"/>
              <w:right w:val="single" w:color="000000" w:sz="4" w:space="0"/>
            </w:tcBorders>
            <w:vAlign w:val="center"/>
          </w:tcPr>
          <w:p w14:paraId="6C58BC7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4A82F63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282" w:type="dxa"/>
            <w:tcBorders>
              <w:top w:val="single" w:color="000000" w:sz="4" w:space="0"/>
              <w:left w:val="single" w:color="000000" w:sz="4" w:space="0"/>
              <w:bottom w:val="single" w:color="000000" w:sz="4" w:space="0"/>
              <w:right w:val="single" w:color="000000" w:sz="4" w:space="0"/>
            </w:tcBorders>
            <w:vAlign w:val="center"/>
          </w:tcPr>
          <w:p w14:paraId="12CAF77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试剂准备区、样本制备、产物扩增区、扩增分析区、缓冲区</w:t>
            </w:r>
          </w:p>
        </w:tc>
      </w:tr>
      <w:tr w14:paraId="6CFAB702">
        <w:tblPrEx>
          <w:tblCellMar>
            <w:top w:w="0" w:type="dxa"/>
            <w:left w:w="108" w:type="dxa"/>
            <w:bottom w:w="0" w:type="dxa"/>
            <w:right w:w="108" w:type="dxa"/>
          </w:tblCellMar>
        </w:tblPrEx>
        <w:trPr>
          <w:trHeight w:val="618"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16F88A1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576" w:type="dxa"/>
            <w:tcBorders>
              <w:top w:val="single" w:color="000000" w:sz="4" w:space="0"/>
              <w:left w:val="single" w:color="000000" w:sz="4" w:space="0"/>
              <w:bottom w:val="single" w:color="000000" w:sz="4" w:space="0"/>
              <w:right w:val="single" w:color="000000" w:sz="4" w:space="0"/>
            </w:tcBorders>
            <w:vAlign w:val="center"/>
          </w:tcPr>
          <w:p w14:paraId="2D6234D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中心供应室</w:t>
            </w:r>
          </w:p>
        </w:tc>
        <w:tc>
          <w:tcPr>
            <w:tcW w:w="1530" w:type="dxa"/>
            <w:tcBorders>
              <w:top w:val="single" w:color="000000" w:sz="4" w:space="0"/>
              <w:left w:val="single" w:color="000000" w:sz="4" w:space="0"/>
              <w:bottom w:val="single" w:color="000000" w:sz="4" w:space="0"/>
              <w:right w:val="single" w:color="000000" w:sz="4" w:space="0"/>
            </w:tcBorders>
            <w:vAlign w:val="center"/>
          </w:tcPr>
          <w:p w14:paraId="3A1DAF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000" w:type="dxa"/>
            <w:tcBorders>
              <w:top w:val="single" w:color="000000" w:sz="4" w:space="0"/>
              <w:left w:val="single" w:color="000000" w:sz="4" w:space="0"/>
              <w:bottom w:val="single" w:color="000000" w:sz="4" w:space="0"/>
              <w:right w:val="single" w:color="000000" w:sz="4" w:space="0"/>
            </w:tcBorders>
            <w:vAlign w:val="center"/>
          </w:tcPr>
          <w:p w14:paraId="665C3F7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4282" w:type="dxa"/>
            <w:tcBorders>
              <w:top w:val="single" w:color="000000" w:sz="4" w:space="0"/>
              <w:left w:val="single" w:color="000000" w:sz="4" w:space="0"/>
              <w:bottom w:val="single" w:color="000000" w:sz="4" w:space="0"/>
              <w:right w:val="single" w:color="000000" w:sz="4" w:space="0"/>
            </w:tcBorders>
            <w:vAlign w:val="center"/>
          </w:tcPr>
          <w:p w14:paraId="490689A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无菌区、检查包装区、洁具间、低温灭菌、打包区</w:t>
            </w:r>
          </w:p>
        </w:tc>
      </w:tr>
      <w:tr w14:paraId="29740641">
        <w:tblPrEx>
          <w:tblCellMar>
            <w:top w:w="0" w:type="dxa"/>
            <w:left w:w="108" w:type="dxa"/>
            <w:bottom w:w="0" w:type="dxa"/>
            <w:right w:w="108" w:type="dxa"/>
          </w:tblCellMar>
        </w:tblPrEx>
        <w:trPr>
          <w:trHeight w:val="618"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53BDFB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15AEF3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日间手术室</w:t>
            </w:r>
          </w:p>
        </w:tc>
        <w:tc>
          <w:tcPr>
            <w:tcW w:w="1530" w:type="dxa"/>
            <w:tcBorders>
              <w:top w:val="single" w:color="000000" w:sz="4" w:space="0"/>
              <w:left w:val="single" w:color="000000" w:sz="4" w:space="0"/>
              <w:bottom w:val="single" w:color="000000" w:sz="4" w:space="0"/>
              <w:right w:val="single" w:color="000000" w:sz="4" w:space="0"/>
            </w:tcBorders>
            <w:vAlign w:val="center"/>
          </w:tcPr>
          <w:p w14:paraId="26F506F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000" w:type="dxa"/>
            <w:tcBorders>
              <w:top w:val="single" w:color="000000" w:sz="4" w:space="0"/>
              <w:left w:val="single" w:color="000000" w:sz="4" w:space="0"/>
              <w:bottom w:val="single" w:color="000000" w:sz="4" w:space="0"/>
              <w:right w:val="single" w:color="000000" w:sz="4" w:space="0"/>
            </w:tcBorders>
            <w:vAlign w:val="center"/>
          </w:tcPr>
          <w:p w14:paraId="7D37227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4282" w:type="dxa"/>
            <w:tcBorders>
              <w:top w:val="single" w:color="000000" w:sz="4" w:space="0"/>
              <w:left w:val="single" w:color="000000" w:sz="4" w:space="0"/>
              <w:bottom w:val="single" w:color="000000" w:sz="4" w:space="0"/>
              <w:right w:val="single" w:color="000000" w:sz="4" w:space="0"/>
            </w:tcBorders>
            <w:vAlign w:val="center"/>
          </w:tcPr>
          <w:p w14:paraId="7572CC8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OP1～OP4、洁净走廊、恢复室、标本间</w:t>
            </w:r>
          </w:p>
        </w:tc>
      </w:tr>
      <w:tr w14:paraId="2452842A">
        <w:tblPrEx>
          <w:tblCellMar>
            <w:top w:w="0" w:type="dxa"/>
            <w:left w:w="108" w:type="dxa"/>
            <w:bottom w:w="0" w:type="dxa"/>
            <w:right w:w="108" w:type="dxa"/>
          </w:tblCellMar>
        </w:tblPrEx>
        <w:trPr>
          <w:trHeight w:val="922"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1170BA3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1142CF7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手术室</w:t>
            </w:r>
          </w:p>
        </w:tc>
        <w:tc>
          <w:tcPr>
            <w:tcW w:w="1530" w:type="dxa"/>
            <w:tcBorders>
              <w:top w:val="single" w:color="000000" w:sz="4" w:space="0"/>
              <w:left w:val="single" w:color="000000" w:sz="4" w:space="0"/>
              <w:bottom w:val="single" w:color="000000" w:sz="4" w:space="0"/>
              <w:right w:val="single" w:color="000000" w:sz="4" w:space="0"/>
            </w:tcBorders>
            <w:vAlign w:val="center"/>
          </w:tcPr>
          <w:p w14:paraId="2B38950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000" w:type="dxa"/>
            <w:tcBorders>
              <w:top w:val="single" w:color="000000" w:sz="4" w:space="0"/>
              <w:left w:val="single" w:color="000000" w:sz="4" w:space="0"/>
              <w:bottom w:val="single" w:color="000000" w:sz="4" w:space="0"/>
              <w:right w:val="single" w:color="000000" w:sz="4" w:space="0"/>
            </w:tcBorders>
            <w:vAlign w:val="center"/>
          </w:tcPr>
          <w:p w14:paraId="686BDED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vAlign w:val="center"/>
          </w:tcPr>
          <w:p w14:paraId="2DC7ED6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OP1～OP20、洁净内外走廊、设备间、UPS间、石膏间、诱导室、标本间、缓冲间、辅房</w:t>
            </w:r>
          </w:p>
        </w:tc>
      </w:tr>
      <w:tr w14:paraId="606E0F0E">
        <w:tblPrEx>
          <w:tblCellMar>
            <w:top w:w="0" w:type="dxa"/>
            <w:left w:w="108" w:type="dxa"/>
            <w:bottom w:w="0" w:type="dxa"/>
            <w:right w:w="108" w:type="dxa"/>
          </w:tblCellMar>
        </w:tblPrEx>
        <w:trPr>
          <w:trHeight w:val="618"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332DCFF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64D88E1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ICU</w:t>
            </w:r>
          </w:p>
        </w:tc>
        <w:tc>
          <w:tcPr>
            <w:tcW w:w="1530" w:type="dxa"/>
            <w:tcBorders>
              <w:top w:val="single" w:color="000000" w:sz="4" w:space="0"/>
              <w:left w:val="single" w:color="000000" w:sz="4" w:space="0"/>
              <w:bottom w:val="single" w:color="000000" w:sz="4" w:space="0"/>
              <w:right w:val="single" w:color="000000" w:sz="4" w:space="0"/>
            </w:tcBorders>
            <w:vAlign w:val="center"/>
          </w:tcPr>
          <w:p w14:paraId="6C252CF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000" w:type="dxa"/>
            <w:tcBorders>
              <w:top w:val="single" w:color="000000" w:sz="4" w:space="0"/>
              <w:left w:val="single" w:color="000000" w:sz="4" w:space="0"/>
              <w:bottom w:val="single" w:color="000000" w:sz="4" w:space="0"/>
              <w:right w:val="single" w:color="000000" w:sz="4" w:space="0"/>
            </w:tcBorders>
            <w:vAlign w:val="center"/>
          </w:tcPr>
          <w:p w14:paraId="7E57574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4282" w:type="dxa"/>
            <w:tcBorders>
              <w:top w:val="single" w:color="000000" w:sz="4" w:space="0"/>
              <w:left w:val="single" w:color="000000" w:sz="4" w:space="0"/>
              <w:bottom w:val="single" w:color="000000" w:sz="4" w:space="0"/>
              <w:right w:val="single" w:color="000000" w:sz="4" w:space="0"/>
            </w:tcBorders>
            <w:vAlign w:val="center"/>
          </w:tcPr>
          <w:p w14:paraId="4D0A1C2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大厅一、大厅二、大厅三、UPS间、配奶间、隔离1～4、隔离辅房</w:t>
            </w:r>
          </w:p>
        </w:tc>
      </w:tr>
      <w:tr w14:paraId="442FD4D0">
        <w:tblPrEx>
          <w:tblCellMar>
            <w:top w:w="0" w:type="dxa"/>
            <w:left w:w="108" w:type="dxa"/>
            <w:bottom w:w="0" w:type="dxa"/>
            <w:right w:w="108" w:type="dxa"/>
          </w:tblCellMar>
        </w:tblPrEx>
        <w:trPr>
          <w:trHeight w:val="922"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2AA905D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794BBC9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NICU</w:t>
            </w:r>
          </w:p>
        </w:tc>
        <w:tc>
          <w:tcPr>
            <w:tcW w:w="1530" w:type="dxa"/>
            <w:tcBorders>
              <w:top w:val="single" w:color="000000" w:sz="4" w:space="0"/>
              <w:left w:val="single" w:color="000000" w:sz="4" w:space="0"/>
              <w:bottom w:val="single" w:color="000000" w:sz="4" w:space="0"/>
              <w:right w:val="single" w:color="000000" w:sz="4" w:space="0"/>
            </w:tcBorders>
            <w:vAlign w:val="center"/>
          </w:tcPr>
          <w:p w14:paraId="4B17025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000" w:type="dxa"/>
            <w:tcBorders>
              <w:top w:val="single" w:color="000000" w:sz="4" w:space="0"/>
              <w:left w:val="single" w:color="000000" w:sz="4" w:space="0"/>
              <w:bottom w:val="single" w:color="000000" w:sz="4" w:space="0"/>
              <w:right w:val="single" w:color="000000" w:sz="4" w:space="0"/>
            </w:tcBorders>
            <w:vAlign w:val="center"/>
          </w:tcPr>
          <w:p w14:paraId="28FD995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4282" w:type="dxa"/>
            <w:tcBorders>
              <w:top w:val="single" w:color="000000" w:sz="4" w:space="0"/>
              <w:left w:val="single" w:color="000000" w:sz="4" w:space="0"/>
              <w:bottom w:val="single" w:color="000000" w:sz="4" w:space="0"/>
              <w:right w:val="single" w:color="000000" w:sz="4" w:space="0"/>
            </w:tcBorders>
            <w:vAlign w:val="center"/>
          </w:tcPr>
          <w:p w14:paraId="3FF7B4B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隔离病房、外科普通区、外科重症区、洁净走道、应急手术间、消毒间、缓冲走道、隔离1～3</w:t>
            </w:r>
          </w:p>
        </w:tc>
      </w:tr>
      <w:tr w14:paraId="21DCFBD8">
        <w:tblPrEx>
          <w:tblCellMar>
            <w:top w:w="0" w:type="dxa"/>
            <w:left w:w="108" w:type="dxa"/>
            <w:bottom w:w="0" w:type="dxa"/>
            <w:right w:w="108" w:type="dxa"/>
          </w:tblCellMar>
        </w:tblPrEx>
        <w:trPr>
          <w:trHeight w:val="618"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4D43DA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071CCFD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静配中心</w:t>
            </w:r>
          </w:p>
        </w:tc>
        <w:tc>
          <w:tcPr>
            <w:tcW w:w="1530" w:type="dxa"/>
            <w:tcBorders>
              <w:top w:val="single" w:color="000000" w:sz="4" w:space="0"/>
              <w:left w:val="single" w:color="000000" w:sz="4" w:space="0"/>
              <w:bottom w:val="single" w:color="000000" w:sz="4" w:space="0"/>
              <w:right w:val="single" w:color="000000" w:sz="4" w:space="0"/>
            </w:tcBorders>
            <w:vAlign w:val="center"/>
          </w:tcPr>
          <w:p w14:paraId="7A4C9AC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000" w:type="dxa"/>
            <w:tcBorders>
              <w:top w:val="single" w:color="000000" w:sz="4" w:space="0"/>
              <w:left w:val="single" w:color="000000" w:sz="4" w:space="0"/>
              <w:bottom w:val="single" w:color="000000" w:sz="4" w:space="0"/>
              <w:right w:val="single" w:color="000000" w:sz="4" w:space="0"/>
            </w:tcBorders>
            <w:vAlign w:val="center"/>
          </w:tcPr>
          <w:p w14:paraId="71BF4A1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4282" w:type="dxa"/>
            <w:tcBorders>
              <w:top w:val="single" w:color="000000" w:sz="4" w:space="0"/>
              <w:left w:val="single" w:color="000000" w:sz="4" w:space="0"/>
              <w:bottom w:val="single" w:color="000000" w:sz="4" w:space="0"/>
              <w:right w:val="single" w:color="000000" w:sz="4" w:space="0"/>
            </w:tcBorders>
            <w:vAlign w:val="center"/>
          </w:tcPr>
          <w:p w14:paraId="70C947F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抗生素药物、普通药物、机器人配药、缓冲</w:t>
            </w:r>
          </w:p>
        </w:tc>
      </w:tr>
      <w:tr w14:paraId="20C844AC">
        <w:tblPrEx>
          <w:tblCellMar>
            <w:top w:w="0" w:type="dxa"/>
            <w:left w:w="108" w:type="dxa"/>
            <w:bottom w:w="0" w:type="dxa"/>
            <w:right w:w="108" w:type="dxa"/>
          </w:tblCellMar>
        </w:tblPrEx>
        <w:trPr>
          <w:trHeight w:val="343"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60DC363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0291E88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层流病房</w:t>
            </w:r>
          </w:p>
        </w:tc>
        <w:tc>
          <w:tcPr>
            <w:tcW w:w="1530" w:type="dxa"/>
            <w:tcBorders>
              <w:top w:val="single" w:color="000000" w:sz="4" w:space="0"/>
              <w:left w:val="single" w:color="000000" w:sz="4" w:space="0"/>
              <w:bottom w:val="single" w:color="000000" w:sz="4" w:space="0"/>
              <w:right w:val="single" w:color="000000" w:sz="4" w:space="0"/>
            </w:tcBorders>
            <w:vAlign w:val="center"/>
          </w:tcPr>
          <w:p w14:paraId="7D6E85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000" w:type="dxa"/>
            <w:tcBorders>
              <w:top w:val="single" w:color="000000" w:sz="4" w:space="0"/>
              <w:left w:val="single" w:color="000000" w:sz="4" w:space="0"/>
              <w:bottom w:val="single" w:color="000000" w:sz="4" w:space="0"/>
              <w:right w:val="single" w:color="000000" w:sz="4" w:space="0"/>
            </w:tcBorders>
            <w:vAlign w:val="center"/>
          </w:tcPr>
          <w:p w14:paraId="6ECB2A8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w:t>
            </w:r>
          </w:p>
        </w:tc>
        <w:tc>
          <w:tcPr>
            <w:tcW w:w="4282" w:type="dxa"/>
            <w:tcBorders>
              <w:top w:val="single" w:color="000000" w:sz="4" w:space="0"/>
              <w:left w:val="single" w:color="000000" w:sz="4" w:space="0"/>
              <w:bottom w:val="single" w:color="000000" w:sz="4" w:space="0"/>
              <w:right w:val="single" w:color="000000" w:sz="4" w:space="0"/>
            </w:tcBorders>
            <w:vAlign w:val="center"/>
          </w:tcPr>
          <w:p w14:paraId="2C08E62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OP1～OP18、走廊、辅房</w:t>
            </w:r>
          </w:p>
        </w:tc>
      </w:tr>
      <w:tr w14:paraId="5737C05E">
        <w:tblPrEx>
          <w:tblCellMar>
            <w:top w:w="0" w:type="dxa"/>
            <w:left w:w="108" w:type="dxa"/>
            <w:bottom w:w="0" w:type="dxa"/>
            <w:right w:w="108" w:type="dxa"/>
          </w:tblCellMar>
        </w:tblPrEx>
        <w:trPr>
          <w:trHeight w:val="628" w:hRule="atLeast"/>
        </w:trPr>
        <w:tc>
          <w:tcPr>
            <w:tcW w:w="1071" w:type="dxa"/>
            <w:tcBorders>
              <w:top w:val="single" w:color="000000" w:sz="4" w:space="0"/>
              <w:left w:val="single" w:color="000000" w:sz="8" w:space="0"/>
              <w:bottom w:val="single" w:color="000000" w:sz="4" w:space="0"/>
              <w:right w:val="single" w:color="000000" w:sz="4" w:space="0"/>
            </w:tcBorders>
            <w:vAlign w:val="center"/>
          </w:tcPr>
          <w:p w14:paraId="6912FCF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5EC3881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冷热源系统</w:t>
            </w:r>
          </w:p>
        </w:tc>
        <w:tc>
          <w:tcPr>
            <w:tcW w:w="1530" w:type="dxa"/>
            <w:tcBorders>
              <w:top w:val="single" w:color="000000" w:sz="4" w:space="0"/>
              <w:left w:val="single" w:color="000000" w:sz="4" w:space="0"/>
              <w:bottom w:val="single" w:color="000000" w:sz="4" w:space="0"/>
              <w:right w:val="single" w:color="000000" w:sz="4" w:space="0"/>
            </w:tcBorders>
            <w:vAlign w:val="center"/>
          </w:tcPr>
          <w:p w14:paraId="727C8E6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000" w:type="dxa"/>
            <w:tcBorders>
              <w:top w:val="single" w:color="000000" w:sz="4" w:space="0"/>
              <w:left w:val="single" w:color="000000" w:sz="4" w:space="0"/>
              <w:bottom w:val="single" w:color="000000" w:sz="4" w:space="0"/>
              <w:right w:val="single" w:color="000000" w:sz="4" w:space="0"/>
            </w:tcBorders>
            <w:vAlign w:val="center"/>
          </w:tcPr>
          <w:p w14:paraId="556D652C">
            <w:pPr>
              <w:widowControl/>
              <w:jc w:val="center"/>
              <w:textAlignment w:val="center"/>
              <w:rPr>
                <w:rFonts w:ascii="宋体" w:hAnsi="宋体" w:cs="宋体"/>
                <w:color w:val="000000"/>
                <w:kern w:val="0"/>
                <w:szCs w:val="21"/>
                <w:lang w:bidi="ar"/>
              </w:rPr>
            </w:pPr>
          </w:p>
        </w:tc>
        <w:tc>
          <w:tcPr>
            <w:tcW w:w="4282" w:type="dxa"/>
            <w:tcBorders>
              <w:top w:val="single" w:color="000000" w:sz="4" w:space="0"/>
              <w:left w:val="single" w:color="000000" w:sz="4" w:space="0"/>
              <w:bottom w:val="single" w:color="000000" w:sz="4" w:space="0"/>
              <w:right w:val="single" w:color="000000" w:sz="4" w:space="0"/>
            </w:tcBorders>
            <w:vAlign w:val="center"/>
          </w:tcPr>
          <w:p w14:paraId="21F577E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天面</w:t>
            </w:r>
          </w:p>
        </w:tc>
      </w:tr>
    </w:tbl>
    <w:p w14:paraId="5EFED264">
      <w:pPr>
        <w:pStyle w:val="4"/>
        <w:spacing w:before="0" w:after="0"/>
        <w:ind w:firstLine="422" w:firstLineChars="200"/>
        <w:jc w:val="left"/>
        <w:rPr>
          <w:rFonts w:ascii="宋体" w:hAnsi="宋体" w:eastAsia="宋体" w:cs="宋体"/>
          <w:szCs w:val="21"/>
        </w:rPr>
      </w:pPr>
      <w:r>
        <w:rPr>
          <w:rFonts w:hint="eastAsia" w:ascii="宋体" w:hAnsi="宋体" w:eastAsia="宋体" w:cs="宋体"/>
          <w:b/>
          <w:bCs/>
          <w:kern w:val="2"/>
          <w:szCs w:val="21"/>
        </w:rPr>
        <w:t>4、定期更换过滤器明细表</w:t>
      </w:r>
      <w:r>
        <w:rPr>
          <w:rFonts w:hint="eastAsia" w:ascii="宋体" w:hAnsi="宋体" w:eastAsia="宋体" w:cs="宋体"/>
          <w:b/>
          <w:bCs/>
          <w:color w:val="FF0000"/>
          <w:kern w:val="2"/>
          <w:szCs w:val="21"/>
          <w:lang w:eastAsia="zh-CN"/>
        </w:rPr>
        <w:t>（</w:t>
      </w:r>
      <w:r>
        <w:rPr>
          <w:rFonts w:hint="eastAsia" w:ascii="宋体" w:hAnsi="宋体" w:eastAsia="宋体" w:cs="宋体"/>
          <w:b/>
          <w:bCs/>
          <w:color w:val="FF0000"/>
          <w:kern w:val="2"/>
          <w:szCs w:val="21"/>
          <w:lang w:val="en-US" w:eastAsia="zh-CN"/>
        </w:rPr>
        <w:t>此项不纳入“采购需求响应情况”评审</w:t>
      </w:r>
      <w:r>
        <w:rPr>
          <w:rFonts w:hint="eastAsia" w:ascii="宋体" w:hAnsi="宋体" w:eastAsia="宋体" w:cs="宋体"/>
          <w:b/>
          <w:bCs/>
          <w:color w:val="FF0000"/>
          <w:kern w:val="2"/>
          <w:szCs w:val="21"/>
          <w:lang w:eastAsia="zh-CN"/>
        </w:rPr>
        <w:t>）</w:t>
      </w:r>
      <w:r>
        <w:rPr>
          <w:rFonts w:hint="eastAsia" w:ascii="宋体" w:hAnsi="宋体" w:eastAsia="宋体" w:cs="宋体"/>
          <w:b/>
          <w:bCs/>
          <w:color w:val="auto"/>
          <w:kern w:val="2"/>
          <w:szCs w:val="21"/>
          <w:lang w:eastAsia="zh-CN"/>
        </w:rPr>
        <w:t>：</w:t>
      </w:r>
    </w:p>
    <w:tbl>
      <w:tblPr>
        <w:tblStyle w:val="4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260"/>
        <w:gridCol w:w="1540"/>
        <w:gridCol w:w="1040"/>
        <w:gridCol w:w="1060"/>
        <w:gridCol w:w="860"/>
        <w:gridCol w:w="900"/>
      </w:tblGrid>
      <w:tr w14:paraId="5AA8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0" w:type="dxa"/>
            <w:tcBorders>
              <w:tl2br w:val="nil"/>
              <w:tr2bl w:val="nil"/>
            </w:tcBorders>
            <w:noWrap/>
            <w:vAlign w:val="center"/>
          </w:tcPr>
          <w:p w14:paraId="0E3400A7">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科室</w:t>
            </w:r>
          </w:p>
        </w:tc>
        <w:tc>
          <w:tcPr>
            <w:tcW w:w="2260" w:type="dxa"/>
            <w:tcBorders>
              <w:tl2br w:val="nil"/>
              <w:tr2bl w:val="nil"/>
            </w:tcBorders>
            <w:noWrap/>
            <w:vAlign w:val="center"/>
          </w:tcPr>
          <w:p w14:paraId="508DEA63">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1540" w:type="dxa"/>
            <w:tcBorders>
              <w:tl2br w:val="nil"/>
              <w:tr2bl w:val="nil"/>
            </w:tcBorders>
            <w:noWrap/>
            <w:vAlign w:val="center"/>
          </w:tcPr>
          <w:p w14:paraId="61643685">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规格</w:t>
            </w:r>
            <w:r>
              <w:rPr>
                <w:rFonts w:hint="eastAsia" w:ascii="宋体" w:hAnsi="宋体" w:cs="宋体"/>
                <w:b/>
                <w:bCs/>
                <w:color w:val="auto"/>
                <w:kern w:val="0"/>
                <w:szCs w:val="21"/>
              </w:rPr>
              <w:t>型号（</w:t>
            </w:r>
            <w:r>
              <w:rPr>
                <w:rFonts w:ascii="宋体" w:hAnsi="宋体" w:cs="宋体"/>
                <w:b/>
                <w:bCs/>
                <w:color w:val="auto"/>
                <w:kern w:val="0"/>
                <w:szCs w:val="21"/>
              </w:rPr>
              <w:t>mm</w:t>
            </w:r>
            <w:r>
              <w:rPr>
                <w:rFonts w:hint="eastAsia" w:ascii="宋体" w:hAnsi="宋体" w:cs="宋体"/>
                <w:b/>
                <w:bCs/>
                <w:color w:val="auto"/>
                <w:kern w:val="0"/>
                <w:szCs w:val="21"/>
              </w:rPr>
              <w:t>）</w:t>
            </w:r>
          </w:p>
        </w:tc>
        <w:tc>
          <w:tcPr>
            <w:tcW w:w="1040" w:type="dxa"/>
            <w:tcBorders>
              <w:tl2br w:val="nil"/>
              <w:tr2bl w:val="nil"/>
            </w:tcBorders>
            <w:noWrap/>
            <w:vAlign w:val="center"/>
          </w:tcPr>
          <w:p w14:paraId="4C160194">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060" w:type="dxa"/>
            <w:tcBorders>
              <w:tl2br w:val="nil"/>
              <w:tr2bl w:val="nil"/>
            </w:tcBorders>
            <w:noWrap/>
            <w:vAlign w:val="center"/>
          </w:tcPr>
          <w:p w14:paraId="4B52CCD9">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860" w:type="dxa"/>
            <w:tcBorders>
              <w:tl2br w:val="nil"/>
              <w:tr2bl w:val="nil"/>
            </w:tcBorders>
            <w:noWrap/>
            <w:vAlign w:val="center"/>
          </w:tcPr>
          <w:p w14:paraId="1B374A8A">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一年更换次数</w:t>
            </w:r>
          </w:p>
        </w:tc>
        <w:tc>
          <w:tcPr>
            <w:tcW w:w="900" w:type="dxa"/>
            <w:tcBorders>
              <w:tl2br w:val="nil"/>
              <w:tr2bl w:val="nil"/>
            </w:tcBorders>
            <w:noWrap/>
            <w:vAlign w:val="center"/>
          </w:tcPr>
          <w:p w14:paraId="71EF4BB2">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一年更换数量</w:t>
            </w:r>
          </w:p>
        </w:tc>
      </w:tr>
      <w:tr w14:paraId="2102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04C9CC54">
            <w:pPr>
              <w:widowControl/>
              <w:spacing w:line="360" w:lineRule="auto"/>
              <w:rPr>
                <w:rFonts w:ascii="宋体" w:hAnsi="宋体" w:cs="宋体"/>
                <w:color w:val="000000"/>
                <w:kern w:val="0"/>
                <w:szCs w:val="21"/>
              </w:rPr>
            </w:pPr>
            <w:r>
              <w:rPr>
                <w:rFonts w:hint="eastAsia" w:ascii="宋体" w:hAnsi="宋体" w:cs="宋体"/>
                <w:color w:val="000000"/>
                <w:kern w:val="0"/>
                <w:szCs w:val="21"/>
              </w:rPr>
              <w:t>供应室</w:t>
            </w:r>
          </w:p>
        </w:tc>
        <w:tc>
          <w:tcPr>
            <w:tcW w:w="2260" w:type="dxa"/>
            <w:tcBorders>
              <w:tl2br w:val="nil"/>
              <w:tr2bl w:val="nil"/>
            </w:tcBorders>
            <w:noWrap/>
            <w:vAlign w:val="center"/>
          </w:tcPr>
          <w:p w14:paraId="5EB2A9F6">
            <w:pPr>
              <w:widowControl/>
              <w:spacing w:line="360" w:lineRule="auto"/>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114F9699">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74DD761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545E4D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3F1CBFD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5417791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r>
      <w:tr w14:paraId="1068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6D23D07">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6018AAF">
            <w:pPr>
              <w:widowControl/>
              <w:spacing w:line="360" w:lineRule="auto"/>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4E7984FE">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56DC3FE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485CBA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183810D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6244A23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r>
      <w:tr w14:paraId="6F3F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304E2C3">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1CAB81EB">
            <w:pPr>
              <w:widowControl/>
              <w:spacing w:line="360" w:lineRule="auto"/>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6ECA8198">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74E8C72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8584DD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585268E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5D771C8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7978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0FFA7C7">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B864090">
            <w:pPr>
              <w:widowControl/>
              <w:spacing w:line="360" w:lineRule="auto"/>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38207B8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287*592*534</w:t>
            </w:r>
          </w:p>
        </w:tc>
        <w:tc>
          <w:tcPr>
            <w:tcW w:w="1040" w:type="dxa"/>
            <w:tcBorders>
              <w:tl2br w:val="nil"/>
              <w:tr2bl w:val="nil"/>
            </w:tcBorders>
            <w:noWrap/>
            <w:vAlign w:val="center"/>
          </w:tcPr>
          <w:p w14:paraId="337B69C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963198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48B2A7C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00B28FD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1E1A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7BF75BA1">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4CBB0D6">
            <w:pPr>
              <w:widowControl/>
              <w:spacing w:line="360" w:lineRule="auto"/>
              <w:rPr>
                <w:rFonts w:ascii="宋体" w:hAnsi="宋体" w:cs="宋体"/>
                <w:color w:val="000000"/>
                <w:kern w:val="0"/>
                <w:szCs w:val="21"/>
              </w:rPr>
            </w:pPr>
            <w:r>
              <w:rPr>
                <w:rFonts w:hint="eastAsia" w:ascii="宋体" w:hAnsi="宋体" w:cs="宋体"/>
                <w:color w:val="000000"/>
                <w:kern w:val="0"/>
                <w:szCs w:val="21"/>
              </w:rPr>
              <w:t>回风过滤器</w:t>
            </w:r>
          </w:p>
        </w:tc>
        <w:tc>
          <w:tcPr>
            <w:tcW w:w="1540" w:type="dxa"/>
            <w:tcBorders>
              <w:tl2br w:val="nil"/>
              <w:tr2bl w:val="nil"/>
            </w:tcBorders>
            <w:noWrap/>
            <w:vAlign w:val="center"/>
          </w:tcPr>
          <w:p w14:paraId="7A7F54EB">
            <w:pPr>
              <w:widowControl/>
              <w:spacing w:line="360" w:lineRule="auto"/>
              <w:rPr>
                <w:rFonts w:ascii="宋体" w:hAnsi="宋体" w:cs="宋体"/>
                <w:color w:val="000000"/>
                <w:kern w:val="0"/>
                <w:szCs w:val="21"/>
              </w:rPr>
            </w:pPr>
            <w:r>
              <w:rPr>
                <w:rFonts w:hint="eastAsia" w:ascii="宋体" w:hAnsi="宋体" w:cs="宋体"/>
                <w:color w:val="000000"/>
                <w:kern w:val="0"/>
                <w:szCs w:val="21"/>
              </w:rPr>
              <w:t>600*400*46</w:t>
            </w:r>
          </w:p>
        </w:tc>
        <w:tc>
          <w:tcPr>
            <w:tcW w:w="1040" w:type="dxa"/>
            <w:tcBorders>
              <w:tl2br w:val="nil"/>
              <w:tr2bl w:val="nil"/>
            </w:tcBorders>
            <w:noWrap/>
            <w:vAlign w:val="center"/>
          </w:tcPr>
          <w:p w14:paraId="5EB371F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0AD537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c>
          <w:tcPr>
            <w:tcW w:w="860" w:type="dxa"/>
            <w:tcBorders>
              <w:tl2br w:val="nil"/>
              <w:tr2bl w:val="nil"/>
            </w:tcBorders>
            <w:noWrap/>
            <w:vAlign w:val="center"/>
          </w:tcPr>
          <w:p w14:paraId="782D8EE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67418D9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r>
      <w:tr w14:paraId="7974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6DA71F8">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7387C42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68B39E1F">
            <w:pPr>
              <w:widowControl/>
              <w:spacing w:line="360" w:lineRule="auto"/>
              <w:rPr>
                <w:rFonts w:ascii="宋体" w:hAnsi="宋体" w:cs="宋体"/>
                <w:color w:val="000000"/>
                <w:kern w:val="0"/>
                <w:szCs w:val="21"/>
              </w:rPr>
            </w:pPr>
            <w:r>
              <w:rPr>
                <w:rFonts w:hint="eastAsia" w:ascii="宋体" w:hAnsi="宋体" w:cs="宋体"/>
                <w:color w:val="000000"/>
                <w:kern w:val="0"/>
                <w:szCs w:val="21"/>
              </w:rPr>
              <w:t>300*300*46</w:t>
            </w:r>
          </w:p>
        </w:tc>
        <w:tc>
          <w:tcPr>
            <w:tcW w:w="1040" w:type="dxa"/>
            <w:tcBorders>
              <w:tl2br w:val="nil"/>
              <w:tr2bl w:val="nil"/>
            </w:tcBorders>
            <w:noWrap/>
            <w:vAlign w:val="center"/>
          </w:tcPr>
          <w:p w14:paraId="2CCDBAC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06703A6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60681CC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746CC50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4BB5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2615129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静脉配置</w:t>
            </w:r>
          </w:p>
        </w:tc>
        <w:tc>
          <w:tcPr>
            <w:tcW w:w="2260" w:type="dxa"/>
            <w:tcBorders>
              <w:tl2br w:val="nil"/>
              <w:tr2bl w:val="nil"/>
            </w:tcBorders>
            <w:noWrap/>
            <w:vAlign w:val="center"/>
          </w:tcPr>
          <w:p w14:paraId="4D568B32">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0E16C723">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30391D0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964B49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60" w:type="dxa"/>
            <w:tcBorders>
              <w:tl2br w:val="nil"/>
              <w:tr2bl w:val="nil"/>
            </w:tcBorders>
            <w:noWrap/>
            <w:vAlign w:val="center"/>
          </w:tcPr>
          <w:p w14:paraId="3314134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405A6F4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r>
      <w:tr w14:paraId="627E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80F4B3D">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942A91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2DD50E3A">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5C854DF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AF2556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l2br w:val="nil"/>
              <w:tr2bl w:val="nil"/>
            </w:tcBorders>
            <w:noWrap/>
            <w:vAlign w:val="center"/>
          </w:tcPr>
          <w:p w14:paraId="1942F7C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028AC76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r>
      <w:tr w14:paraId="5DCA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B48127B">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D16A12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16A9B66F">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7E9AAD9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D0D6C9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60" w:type="dxa"/>
            <w:tcBorders>
              <w:tl2br w:val="nil"/>
              <w:tr2bl w:val="nil"/>
            </w:tcBorders>
            <w:noWrap/>
            <w:vAlign w:val="center"/>
          </w:tcPr>
          <w:p w14:paraId="1A2129C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44D1DB9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r>
      <w:tr w14:paraId="1712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76F7E28">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90E2E7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15E0235F">
            <w:pPr>
              <w:widowControl/>
              <w:spacing w:line="360" w:lineRule="auto"/>
              <w:rPr>
                <w:rFonts w:ascii="宋体" w:hAnsi="宋体" w:cs="宋体"/>
                <w:color w:val="000000"/>
                <w:kern w:val="0"/>
                <w:szCs w:val="21"/>
              </w:rPr>
            </w:pPr>
            <w:r>
              <w:rPr>
                <w:rFonts w:hint="eastAsia" w:ascii="宋体" w:hAnsi="宋体" w:cs="宋体"/>
                <w:color w:val="000000"/>
                <w:kern w:val="0"/>
                <w:szCs w:val="21"/>
              </w:rPr>
              <w:t>287*592*534</w:t>
            </w:r>
          </w:p>
        </w:tc>
        <w:tc>
          <w:tcPr>
            <w:tcW w:w="1040" w:type="dxa"/>
            <w:tcBorders>
              <w:tl2br w:val="nil"/>
              <w:tr2bl w:val="nil"/>
            </w:tcBorders>
            <w:noWrap/>
            <w:vAlign w:val="center"/>
          </w:tcPr>
          <w:p w14:paraId="4BE43D6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D712C1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l2br w:val="nil"/>
              <w:tr2bl w:val="nil"/>
            </w:tcBorders>
            <w:noWrap/>
            <w:vAlign w:val="center"/>
          </w:tcPr>
          <w:p w14:paraId="3817719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4A8880A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r>
      <w:tr w14:paraId="218F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7159CB9F">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CCAACF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回风过滤器</w:t>
            </w:r>
          </w:p>
        </w:tc>
        <w:tc>
          <w:tcPr>
            <w:tcW w:w="1540" w:type="dxa"/>
            <w:tcBorders>
              <w:tl2br w:val="nil"/>
              <w:tr2bl w:val="nil"/>
            </w:tcBorders>
            <w:noWrap/>
            <w:vAlign w:val="center"/>
          </w:tcPr>
          <w:p w14:paraId="04C0488B">
            <w:pPr>
              <w:widowControl/>
              <w:spacing w:line="360" w:lineRule="auto"/>
              <w:rPr>
                <w:rFonts w:ascii="宋体" w:hAnsi="宋体" w:cs="宋体"/>
                <w:color w:val="000000"/>
                <w:kern w:val="0"/>
                <w:szCs w:val="21"/>
              </w:rPr>
            </w:pPr>
            <w:r>
              <w:rPr>
                <w:rFonts w:hint="eastAsia" w:ascii="宋体" w:hAnsi="宋体" w:cs="宋体"/>
                <w:color w:val="000000"/>
                <w:kern w:val="0"/>
                <w:szCs w:val="21"/>
              </w:rPr>
              <w:t>600*400*46</w:t>
            </w:r>
          </w:p>
        </w:tc>
        <w:tc>
          <w:tcPr>
            <w:tcW w:w="1040" w:type="dxa"/>
            <w:tcBorders>
              <w:tl2br w:val="nil"/>
              <w:tr2bl w:val="nil"/>
            </w:tcBorders>
            <w:noWrap/>
            <w:vAlign w:val="center"/>
          </w:tcPr>
          <w:p w14:paraId="102192F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FB59C3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c>
          <w:tcPr>
            <w:tcW w:w="860" w:type="dxa"/>
            <w:tcBorders>
              <w:tl2br w:val="nil"/>
              <w:tr2bl w:val="nil"/>
            </w:tcBorders>
            <w:noWrap/>
            <w:vAlign w:val="center"/>
          </w:tcPr>
          <w:p w14:paraId="4D4D547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41C6B48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w:t>
            </w:r>
          </w:p>
        </w:tc>
      </w:tr>
      <w:tr w14:paraId="6483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B7CCEFC">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52DD60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6267F1AB">
            <w:pPr>
              <w:widowControl/>
              <w:spacing w:line="360" w:lineRule="auto"/>
              <w:rPr>
                <w:rFonts w:ascii="宋体" w:hAnsi="宋体" w:cs="宋体"/>
                <w:color w:val="000000"/>
                <w:kern w:val="0"/>
                <w:szCs w:val="21"/>
              </w:rPr>
            </w:pPr>
            <w:r>
              <w:rPr>
                <w:rFonts w:hint="eastAsia" w:ascii="宋体" w:hAnsi="宋体" w:cs="宋体"/>
                <w:color w:val="000000"/>
                <w:kern w:val="0"/>
                <w:szCs w:val="21"/>
              </w:rPr>
              <w:t>300*300*46</w:t>
            </w:r>
          </w:p>
        </w:tc>
        <w:tc>
          <w:tcPr>
            <w:tcW w:w="1040" w:type="dxa"/>
            <w:tcBorders>
              <w:tl2br w:val="nil"/>
              <w:tr2bl w:val="nil"/>
            </w:tcBorders>
            <w:noWrap/>
            <w:vAlign w:val="center"/>
          </w:tcPr>
          <w:p w14:paraId="38250D2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B6E06D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2B47ABA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6FFF524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172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16CFD60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PICU/NICU</w:t>
            </w:r>
          </w:p>
        </w:tc>
        <w:tc>
          <w:tcPr>
            <w:tcW w:w="2260" w:type="dxa"/>
            <w:tcBorders>
              <w:tl2br w:val="nil"/>
              <w:tr2bl w:val="nil"/>
            </w:tcBorders>
            <w:noWrap/>
            <w:vAlign w:val="center"/>
          </w:tcPr>
          <w:p w14:paraId="6A93463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0C2F0A06">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776D7FF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1466D1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l2br w:val="nil"/>
              <w:tr2bl w:val="nil"/>
            </w:tcBorders>
            <w:noWrap/>
            <w:vAlign w:val="center"/>
          </w:tcPr>
          <w:p w14:paraId="475286C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078A059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75E4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F89494C">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7D9A93A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08A4CAC3">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533CA43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96EDC0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l2br w:val="nil"/>
              <w:tr2bl w:val="nil"/>
            </w:tcBorders>
            <w:noWrap/>
            <w:vAlign w:val="center"/>
          </w:tcPr>
          <w:p w14:paraId="7A342CC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6029CCD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1815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FF0459E">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6B6C33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4EAAC004">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05B4CCF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0F73C7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l2br w:val="nil"/>
              <w:tr2bl w:val="nil"/>
            </w:tcBorders>
            <w:noWrap/>
            <w:vAlign w:val="center"/>
          </w:tcPr>
          <w:p w14:paraId="00D5CC6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7F5B54E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r>
      <w:tr w14:paraId="731A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DBC1604">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B3C924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01C2ABBD">
            <w:pPr>
              <w:widowControl/>
              <w:spacing w:line="360" w:lineRule="auto"/>
              <w:rPr>
                <w:rFonts w:ascii="宋体" w:hAnsi="宋体" w:cs="宋体"/>
                <w:color w:val="000000"/>
                <w:kern w:val="0"/>
                <w:szCs w:val="21"/>
              </w:rPr>
            </w:pPr>
            <w:r>
              <w:rPr>
                <w:rFonts w:hint="eastAsia" w:ascii="宋体" w:hAnsi="宋体" w:cs="宋体"/>
                <w:color w:val="000000"/>
                <w:kern w:val="0"/>
                <w:szCs w:val="21"/>
              </w:rPr>
              <w:t>287*592*534</w:t>
            </w:r>
          </w:p>
        </w:tc>
        <w:tc>
          <w:tcPr>
            <w:tcW w:w="1040" w:type="dxa"/>
            <w:tcBorders>
              <w:tl2br w:val="nil"/>
              <w:tr2bl w:val="nil"/>
            </w:tcBorders>
            <w:noWrap/>
            <w:vAlign w:val="center"/>
          </w:tcPr>
          <w:p w14:paraId="761F042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7E6D7A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l2br w:val="nil"/>
              <w:tr2bl w:val="nil"/>
            </w:tcBorders>
            <w:noWrap/>
            <w:vAlign w:val="center"/>
          </w:tcPr>
          <w:p w14:paraId="6876C75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49129F6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r>
      <w:tr w14:paraId="4C2E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7A3317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1249087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亚高效过滤器</w:t>
            </w:r>
          </w:p>
        </w:tc>
        <w:tc>
          <w:tcPr>
            <w:tcW w:w="1540" w:type="dxa"/>
            <w:tcBorders>
              <w:tl2br w:val="nil"/>
              <w:tr2bl w:val="nil"/>
            </w:tcBorders>
            <w:noWrap/>
            <w:vAlign w:val="center"/>
          </w:tcPr>
          <w:p w14:paraId="148807C3">
            <w:pPr>
              <w:widowControl/>
              <w:spacing w:line="360" w:lineRule="auto"/>
              <w:rPr>
                <w:rFonts w:ascii="宋体" w:hAnsi="宋体" w:cs="宋体"/>
                <w:color w:val="000000"/>
                <w:kern w:val="0"/>
                <w:szCs w:val="21"/>
              </w:rPr>
            </w:pPr>
            <w:r>
              <w:rPr>
                <w:rFonts w:hint="eastAsia" w:ascii="宋体" w:hAnsi="宋体" w:cs="宋体"/>
                <w:color w:val="000000"/>
                <w:kern w:val="0"/>
                <w:szCs w:val="21"/>
              </w:rPr>
              <w:t>592*592*292</w:t>
            </w:r>
          </w:p>
        </w:tc>
        <w:tc>
          <w:tcPr>
            <w:tcW w:w="1040" w:type="dxa"/>
            <w:tcBorders>
              <w:tl2br w:val="nil"/>
              <w:tr2bl w:val="nil"/>
            </w:tcBorders>
            <w:noWrap/>
            <w:vAlign w:val="center"/>
          </w:tcPr>
          <w:p w14:paraId="3CB7844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378D40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l2br w:val="nil"/>
              <w:tr2bl w:val="nil"/>
            </w:tcBorders>
            <w:noWrap/>
            <w:vAlign w:val="center"/>
          </w:tcPr>
          <w:p w14:paraId="64D0FFE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900" w:type="dxa"/>
            <w:tcBorders>
              <w:tl2br w:val="nil"/>
              <w:tr2bl w:val="nil"/>
            </w:tcBorders>
            <w:noWrap/>
            <w:vAlign w:val="center"/>
          </w:tcPr>
          <w:p w14:paraId="38D9F0D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r>
      <w:tr w14:paraId="4E6F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5D7F9CB">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204408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亚高效过滤器</w:t>
            </w:r>
          </w:p>
        </w:tc>
        <w:tc>
          <w:tcPr>
            <w:tcW w:w="1540" w:type="dxa"/>
            <w:tcBorders>
              <w:tl2br w:val="nil"/>
              <w:tr2bl w:val="nil"/>
            </w:tcBorders>
            <w:noWrap/>
            <w:vAlign w:val="center"/>
          </w:tcPr>
          <w:p w14:paraId="663E388E">
            <w:pPr>
              <w:widowControl/>
              <w:spacing w:line="360" w:lineRule="auto"/>
              <w:rPr>
                <w:rFonts w:ascii="宋体" w:hAnsi="宋体" w:cs="宋体"/>
                <w:color w:val="000000"/>
                <w:kern w:val="0"/>
                <w:szCs w:val="21"/>
              </w:rPr>
            </w:pPr>
            <w:r>
              <w:rPr>
                <w:rFonts w:hint="eastAsia" w:ascii="宋体" w:hAnsi="宋体" w:cs="宋体"/>
                <w:color w:val="000000"/>
                <w:kern w:val="0"/>
                <w:szCs w:val="21"/>
              </w:rPr>
              <w:t>287*592*292</w:t>
            </w:r>
          </w:p>
        </w:tc>
        <w:tc>
          <w:tcPr>
            <w:tcW w:w="1040" w:type="dxa"/>
            <w:tcBorders>
              <w:tl2br w:val="nil"/>
              <w:tr2bl w:val="nil"/>
            </w:tcBorders>
            <w:noWrap/>
            <w:vAlign w:val="center"/>
          </w:tcPr>
          <w:p w14:paraId="54EED58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12A811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l2br w:val="nil"/>
              <w:tr2bl w:val="nil"/>
            </w:tcBorders>
            <w:noWrap/>
            <w:vAlign w:val="center"/>
          </w:tcPr>
          <w:p w14:paraId="37CFE16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900" w:type="dxa"/>
            <w:tcBorders>
              <w:tl2br w:val="nil"/>
              <w:tr2bl w:val="nil"/>
            </w:tcBorders>
            <w:noWrap/>
            <w:vAlign w:val="center"/>
          </w:tcPr>
          <w:p w14:paraId="5C2AF41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r>
      <w:tr w14:paraId="1F11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9B0C26D">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73BCEB9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526A2D3F">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3A92F1D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D94D08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17</w:t>
            </w:r>
          </w:p>
        </w:tc>
        <w:tc>
          <w:tcPr>
            <w:tcW w:w="860" w:type="dxa"/>
            <w:tcBorders>
              <w:tl2br w:val="nil"/>
              <w:tr2bl w:val="nil"/>
            </w:tcBorders>
            <w:noWrap/>
            <w:vAlign w:val="center"/>
          </w:tcPr>
          <w:p w14:paraId="41A1C46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4CD1B70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68</w:t>
            </w:r>
          </w:p>
        </w:tc>
      </w:tr>
      <w:tr w14:paraId="4261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3D87070">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62F846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3FF9165A">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5FB8B80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CC3B18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c>
          <w:tcPr>
            <w:tcW w:w="860" w:type="dxa"/>
            <w:tcBorders>
              <w:tl2br w:val="nil"/>
              <w:tr2bl w:val="nil"/>
            </w:tcBorders>
            <w:noWrap/>
            <w:vAlign w:val="center"/>
          </w:tcPr>
          <w:p w14:paraId="0E4C61D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2063111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64</w:t>
            </w:r>
          </w:p>
        </w:tc>
      </w:tr>
      <w:tr w14:paraId="27F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6FF2680A">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27217AE">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301704CB">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4026732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E96475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17</w:t>
            </w:r>
          </w:p>
        </w:tc>
        <w:tc>
          <w:tcPr>
            <w:tcW w:w="860" w:type="dxa"/>
            <w:tcBorders>
              <w:tl2br w:val="nil"/>
              <w:tr2bl w:val="nil"/>
            </w:tcBorders>
            <w:noWrap/>
            <w:vAlign w:val="center"/>
          </w:tcPr>
          <w:p w14:paraId="17A5B64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2F21C9D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34</w:t>
            </w:r>
          </w:p>
        </w:tc>
      </w:tr>
      <w:tr w14:paraId="229F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676953C">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0C99908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268F4CC3">
            <w:pPr>
              <w:widowControl/>
              <w:spacing w:line="360" w:lineRule="auto"/>
              <w:rPr>
                <w:rFonts w:ascii="宋体" w:hAnsi="宋体" w:cs="宋体"/>
                <w:color w:val="000000"/>
                <w:kern w:val="0"/>
                <w:szCs w:val="21"/>
              </w:rPr>
            </w:pPr>
            <w:r>
              <w:rPr>
                <w:rFonts w:hint="eastAsia" w:ascii="宋体" w:hAnsi="宋体" w:cs="宋体"/>
                <w:color w:val="000000"/>
                <w:kern w:val="0"/>
                <w:szCs w:val="21"/>
              </w:rPr>
              <w:t>287*592*534</w:t>
            </w:r>
          </w:p>
        </w:tc>
        <w:tc>
          <w:tcPr>
            <w:tcW w:w="1040" w:type="dxa"/>
            <w:tcBorders>
              <w:tl2br w:val="nil"/>
              <w:tr2bl w:val="nil"/>
            </w:tcBorders>
            <w:noWrap/>
            <w:vAlign w:val="center"/>
          </w:tcPr>
          <w:p w14:paraId="4EA6818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CA249B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c>
          <w:tcPr>
            <w:tcW w:w="860" w:type="dxa"/>
            <w:tcBorders>
              <w:tl2br w:val="nil"/>
              <w:tr2bl w:val="nil"/>
            </w:tcBorders>
            <w:noWrap/>
            <w:vAlign w:val="center"/>
          </w:tcPr>
          <w:p w14:paraId="2802042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3B88057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w:t>
            </w:r>
          </w:p>
        </w:tc>
      </w:tr>
      <w:tr w14:paraId="557B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67D568D">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D75CEB3">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035EE75F">
            <w:pPr>
              <w:widowControl/>
              <w:spacing w:line="360" w:lineRule="auto"/>
              <w:rPr>
                <w:rFonts w:ascii="宋体" w:hAnsi="宋体" w:cs="宋体"/>
                <w:color w:val="000000"/>
                <w:kern w:val="0"/>
                <w:szCs w:val="21"/>
              </w:rPr>
            </w:pPr>
            <w:r>
              <w:rPr>
                <w:rFonts w:hint="eastAsia" w:ascii="宋体" w:hAnsi="宋体" w:cs="宋体"/>
                <w:color w:val="000000"/>
                <w:kern w:val="0"/>
                <w:szCs w:val="21"/>
              </w:rPr>
              <w:t>460*938*20</w:t>
            </w:r>
          </w:p>
        </w:tc>
        <w:tc>
          <w:tcPr>
            <w:tcW w:w="1040" w:type="dxa"/>
            <w:tcBorders>
              <w:tl2br w:val="nil"/>
              <w:tr2bl w:val="nil"/>
            </w:tcBorders>
            <w:noWrap/>
            <w:vAlign w:val="center"/>
          </w:tcPr>
          <w:p w14:paraId="3CBA191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858B28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6C8BB79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38669E0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2B48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1E3F87E0">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6704A0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111FC1DB">
            <w:pPr>
              <w:widowControl/>
              <w:spacing w:line="360" w:lineRule="auto"/>
              <w:rPr>
                <w:rFonts w:ascii="宋体" w:hAnsi="宋体" w:cs="宋体"/>
                <w:color w:val="000000"/>
                <w:kern w:val="0"/>
                <w:szCs w:val="21"/>
              </w:rPr>
            </w:pPr>
            <w:r>
              <w:rPr>
                <w:rFonts w:hint="eastAsia" w:ascii="宋体" w:hAnsi="宋体" w:cs="宋体"/>
                <w:color w:val="000000"/>
                <w:kern w:val="0"/>
                <w:szCs w:val="21"/>
              </w:rPr>
              <w:t>570*850*20</w:t>
            </w:r>
          </w:p>
        </w:tc>
        <w:tc>
          <w:tcPr>
            <w:tcW w:w="1040" w:type="dxa"/>
            <w:tcBorders>
              <w:tl2br w:val="nil"/>
              <w:tr2bl w:val="nil"/>
            </w:tcBorders>
            <w:noWrap/>
            <w:vAlign w:val="center"/>
          </w:tcPr>
          <w:p w14:paraId="152BEF9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A20EE3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6D42179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2B18A88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r>
      <w:tr w14:paraId="1B89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0F00237">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FBCA16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70C2B838">
            <w:pPr>
              <w:widowControl/>
              <w:spacing w:line="360" w:lineRule="auto"/>
              <w:rPr>
                <w:rFonts w:ascii="宋体" w:hAnsi="宋体" w:cs="宋体"/>
                <w:color w:val="000000"/>
                <w:kern w:val="0"/>
                <w:szCs w:val="21"/>
              </w:rPr>
            </w:pPr>
            <w:r>
              <w:rPr>
                <w:rFonts w:hint="eastAsia" w:ascii="宋体" w:hAnsi="宋体" w:cs="宋体"/>
                <w:color w:val="000000"/>
                <w:kern w:val="0"/>
                <w:szCs w:val="21"/>
              </w:rPr>
              <w:t>460*938*420</w:t>
            </w:r>
          </w:p>
        </w:tc>
        <w:tc>
          <w:tcPr>
            <w:tcW w:w="1040" w:type="dxa"/>
            <w:tcBorders>
              <w:tl2br w:val="nil"/>
              <w:tr2bl w:val="nil"/>
            </w:tcBorders>
            <w:noWrap/>
            <w:vAlign w:val="center"/>
          </w:tcPr>
          <w:p w14:paraId="1BC1463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7E0DCC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7462383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29EBDEB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03BA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9AA1CBE">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11E4B9C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0D511D9A">
            <w:pPr>
              <w:widowControl/>
              <w:spacing w:line="360" w:lineRule="auto"/>
              <w:rPr>
                <w:rFonts w:ascii="宋体" w:hAnsi="宋体" w:cs="宋体"/>
                <w:color w:val="000000"/>
                <w:kern w:val="0"/>
                <w:szCs w:val="21"/>
              </w:rPr>
            </w:pPr>
            <w:r>
              <w:rPr>
                <w:rFonts w:hint="eastAsia" w:ascii="宋体" w:hAnsi="宋体" w:cs="宋体"/>
                <w:color w:val="000000"/>
                <w:kern w:val="0"/>
                <w:szCs w:val="21"/>
              </w:rPr>
              <w:t>570*850*420</w:t>
            </w:r>
          </w:p>
        </w:tc>
        <w:tc>
          <w:tcPr>
            <w:tcW w:w="1040" w:type="dxa"/>
            <w:tcBorders>
              <w:tl2br w:val="nil"/>
              <w:tr2bl w:val="nil"/>
            </w:tcBorders>
            <w:noWrap/>
            <w:vAlign w:val="center"/>
          </w:tcPr>
          <w:p w14:paraId="27C9F48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21E277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6E32ABE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0104D7B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r>
      <w:tr w14:paraId="6EBA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11D61930">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702F8C0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回风过滤器</w:t>
            </w:r>
          </w:p>
        </w:tc>
        <w:tc>
          <w:tcPr>
            <w:tcW w:w="1540" w:type="dxa"/>
            <w:tcBorders>
              <w:tl2br w:val="nil"/>
              <w:tr2bl w:val="nil"/>
            </w:tcBorders>
            <w:noWrap/>
            <w:vAlign w:val="center"/>
          </w:tcPr>
          <w:p w14:paraId="31AF0470">
            <w:pPr>
              <w:widowControl/>
              <w:spacing w:line="360" w:lineRule="auto"/>
              <w:rPr>
                <w:rFonts w:ascii="宋体" w:hAnsi="宋体" w:cs="宋体"/>
                <w:color w:val="000000"/>
                <w:kern w:val="0"/>
                <w:szCs w:val="21"/>
              </w:rPr>
            </w:pPr>
            <w:r>
              <w:rPr>
                <w:rFonts w:hint="eastAsia" w:ascii="宋体" w:hAnsi="宋体" w:cs="宋体"/>
                <w:color w:val="000000"/>
                <w:kern w:val="0"/>
                <w:szCs w:val="21"/>
              </w:rPr>
              <w:t>600*400*46</w:t>
            </w:r>
          </w:p>
        </w:tc>
        <w:tc>
          <w:tcPr>
            <w:tcW w:w="1040" w:type="dxa"/>
            <w:tcBorders>
              <w:tl2br w:val="nil"/>
              <w:tr2bl w:val="nil"/>
            </w:tcBorders>
            <w:noWrap/>
            <w:vAlign w:val="center"/>
          </w:tcPr>
          <w:p w14:paraId="305EE10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3E01C1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38</w:t>
            </w:r>
          </w:p>
        </w:tc>
        <w:tc>
          <w:tcPr>
            <w:tcW w:w="860" w:type="dxa"/>
            <w:tcBorders>
              <w:tl2br w:val="nil"/>
              <w:tr2bl w:val="nil"/>
            </w:tcBorders>
            <w:noWrap/>
            <w:vAlign w:val="center"/>
          </w:tcPr>
          <w:p w14:paraId="0EE0517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66AB375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76</w:t>
            </w:r>
          </w:p>
        </w:tc>
      </w:tr>
      <w:tr w14:paraId="166F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E144F74">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56780EC">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3B42EFEA">
            <w:pPr>
              <w:widowControl/>
              <w:spacing w:line="360" w:lineRule="auto"/>
              <w:rPr>
                <w:rFonts w:ascii="宋体" w:hAnsi="宋体" w:cs="宋体"/>
                <w:color w:val="000000"/>
                <w:kern w:val="0"/>
                <w:szCs w:val="21"/>
              </w:rPr>
            </w:pPr>
            <w:r>
              <w:rPr>
                <w:rFonts w:hint="eastAsia" w:ascii="宋体" w:hAnsi="宋体" w:cs="宋体"/>
                <w:color w:val="000000"/>
                <w:kern w:val="0"/>
                <w:szCs w:val="21"/>
              </w:rPr>
              <w:t>300*300*46</w:t>
            </w:r>
          </w:p>
        </w:tc>
        <w:tc>
          <w:tcPr>
            <w:tcW w:w="1040" w:type="dxa"/>
            <w:tcBorders>
              <w:tl2br w:val="nil"/>
              <w:tr2bl w:val="nil"/>
            </w:tcBorders>
            <w:noWrap/>
            <w:vAlign w:val="center"/>
          </w:tcPr>
          <w:p w14:paraId="76E6978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660707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c>
          <w:tcPr>
            <w:tcW w:w="860" w:type="dxa"/>
            <w:tcBorders>
              <w:tl2br w:val="nil"/>
              <w:tr2bl w:val="nil"/>
            </w:tcBorders>
            <w:noWrap/>
            <w:vAlign w:val="center"/>
          </w:tcPr>
          <w:p w14:paraId="6639FEC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02E01F0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w:t>
            </w:r>
          </w:p>
        </w:tc>
      </w:tr>
      <w:tr w14:paraId="574B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4D875A1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手术室</w:t>
            </w:r>
          </w:p>
        </w:tc>
        <w:tc>
          <w:tcPr>
            <w:tcW w:w="2260" w:type="dxa"/>
            <w:tcBorders>
              <w:tl2br w:val="nil"/>
              <w:tr2bl w:val="nil"/>
            </w:tcBorders>
            <w:noWrap/>
            <w:vAlign w:val="center"/>
          </w:tcPr>
          <w:p w14:paraId="534D8C4E">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7304D5CD">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6C6149C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6FE198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60" w:type="dxa"/>
            <w:tcBorders>
              <w:tl2br w:val="nil"/>
              <w:tr2bl w:val="nil"/>
            </w:tcBorders>
            <w:noWrap/>
            <w:vAlign w:val="center"/>
          </w:tcPr>
          <w:p w14:paraId="4A74C79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76B2F71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48</w:t>
            </w:r>
          </w:p>
        </w:tc>
      </w:tr>
      <w:tr w14:paraId="4B64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B197A7C">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4949AB9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70A54BE7">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431DCAE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648A18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860" w:type="dxa"/>
            <w:tcBorders>
              <w:tl2br w:val="nil"/>
              <w:tr2bl w:val="nil"/>
            </w:tcBorders>
            <w:noWrap/>
            <w:vAlign w:val="center"/>
          </w:tcPr>
          <w:p w14:paraId="183AB24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1C9E907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60</w:t>
            </w:r>
          </w:p>
        </w:tc>
      </w:tr>
      <w:tr w14:paraId="2D31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1A89DB2">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BB13D3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27DE7EFF">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5C44D42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D82461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60" w:type="dxa"/>
            <w:tcBorders>
              <w:tl2br w:val="nil"/>
              <w:tr2bl w:val="nil"/>
            </w:tcBorders>
            <w:noWrap/>
            <w:vAlign w:val="center"/>
          </w:tcPr>
          <w:p w14:paraId="057CEF2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3D7B3C5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w:t>
            </w:r>
          </w:p>
        </w:tc>
      </w:tr>
      <w:tr w14:paraId="2DC9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6C6D591A">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E84F723">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4F8A31BB">
            <w:pPr>
              <w:widowControl/>
              <w:spacing w:line="360" w:lineRule="auto"/>
              <w:rPr>
                <w:rFonts w:ascii="宋体" w:hAnsi="宋体" w:cs="宋体"/>
                <w:color w:val="000000"/>
                <w:kern w:val="0"/>
                <w:szCs w:val="21"/>
              </w:rPr>
            </w:pPr>
            <w:r>
              <w:rPr>
                <w:rFonts w:hint="eastAsia" w:ascii="宋体" w:hAnsi="宋体" w:cs="宋体"/>
                <w:color w:val="000000"/>
                <w:kern w:val="0"/>
                <w:szCs w:val="21"/>
              </w:rPr>
              <w:t>287*592*534</w:t>
            </w:r>
          </w:p>
        </w:tc>
        <w:tc>
          <w:tcPr>
            <w:tcW w:w="1040" w:type="dxa"/>
            <w:tcBorders>
              <w:tl2br w:val="nil"/>
              <w:tr2bl w:val="nil"/>
            </w:tcBorders>
            <w:noWrap/>
            <w:vAlign w:val="center"/>
          </w:tcPr>
          <w:p w14:paraId="08DF8C5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B787E5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860" w:type="dxa"/>
            <w:tcBorders>
              <w:tl2br w:val="nil"/>
              <w:tr2bl w:val="nil"/>
            </w:tcBorders>
            <w:noWrap/>
            <w:vAlign w:val="center"/>
          </w:tcPr>
          <w:p w14:paraId="0C2B833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3F65135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40</w:t>
            </w:r>
          </w:p>
        </w:tc>
      </w:tr>
      <w:tr w14:paraId="5710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D3EA6F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712DCC8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亚高效过滤器</w:t>
            </w:r>
          </w:p>
        </w:tc>
        <w:tc>
          <w:tcPr>
            <w:tcW w:w="1540" w:type="dxa"/>
            <w:tcBorders>
              <w:tl2br w:val="nil"/>
              <w:tr2bl w:val="nil"/>
            </w:tcBorders>
            <w:noWrap/>
            <w:vAlign w:val="center"/>
          </w:tcPr>
          <w:p w14:paraId="6C5BFB27">
            <w:pPr>
              <w:widowControl/>
              <w:spacing w:line="360" w:lineRule="auto"/>
              <w:rPr>
                <w:rFonts w:ascii="宋体" w:hAnsi="宋体" w:cs="宋体"/>
                <w:color w:val="000000"/>
                <w:kern w:val="0"/>
                <w:szCs w:val="21"/>
              </w:rPr>
            </w:pPr>
            <w:r>
              <w:rPr>
                <w:rFonts w:hint="eastAsia" w:ascii="宋体" w:hAnsi="宋体" w:cs="宋体"/>
                <w:color w:val="000000"/>
                <w:kern w:val="0"/>
                <w:szCs w:val="21"/>
              </w:rPr>
              <w:t>592*592*292</w:t>
            </w:r>
          </w:p>
        </w:tc>
        <w:tc>
          <w:tcPr>
            <w:tcW w:w="1040" w:type="dxa"/>
            <w:tcBorders>
              <w:tl2br w:val="nil"/>
              <w:tr2bl w:val="nil"/>
            </w:tcBorders>
            <w:noWrap/>
            <w:vAlign w:val="center"/>
          </w:tcPr>
          <w:p w14:paraId="2B28214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8332E7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60" w:type="dxa"/>
            <w:tcBorders>
              <w:tl2br w:val="nil"/>
              <w:tr2bl w:val="nil"/>
            </w:tcBorders>
            <w:noWrap/>
            <w:vAlign w:val="center"/>
          </w:tcPr>
          <w:p w14:paraId="65C338F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900" w:type="dxa"/>
            <w:tcBorders>
              <w:tl2br w:val="nil"/>
              <w:tr2bl w:val="nil"/>
            </w:tcBorders>
            <w:noWrap/>
            <w:vAlign w:val="center"/>
          </w:tcPr>
          <w:p w14:paraId="4C27275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r>
      <w:tr w14:paraId="329E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1B0D22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E17BD2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亚高效过滤器</w:t>
            </w:r>
          </w:p>
        </w:tc>
        <w:tc>
          <w:tcPr>
            <w:tcW w:w="1540" w:type="dxa"/>
            <w:tcBorders>
              <w:tl2br w:val="nil"/>
              <w:tr2bl w:val="nil"/>
            </w:tcBorders>
            <w:noWrap/>
            <w:vAlign w:val="center"/>
          </w:tcPr>
          <w:p w14:paraId="23D21AA7">
            <w:pPr>
              <w:widowControl/>
              <w:spacing w:line="360" w:lineRule="auto"/>
              <w:rPr>
                <w:rFonts w:ascii="宋体" w:hAnsi="宋体" w:cs="宋体"/>
                <w:color w:val="000000"/>
                <w:kern w:val="0"/>
                <w:szCs w:val="21"/>
              </w:rPr>
            </w:pPr>
            <w:r>
              <w:rPr>
                <w:rFonts w:hint="eastAsia" w:ascii="宋体" w:hAnsi="宋体" w:cs="宋体"/>
                <w:color w:val="000000"/>
                <w:kern w:val="0"/>
                <w:szCs w:val="21"/>
              </w:rPr>
              <w:t>287*592*292</w:t>
            </w:r>
          </w:p>
        </w:tc>
        <w:tc>
          <w:tcPr>
            <w:tcW w:w="1040" w:type="dxa"/>
            <w:tcBorders>
              <w:tl2br w:val="nil"/>
              <w:tr2bl w:val="nil"/>
            </w:tcBorders>
            <w:noWrap/>
            <w:vAlign w:val="center"/>
          </w:tcPr>
          <w:p w14:paraId="50ED096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9C77E0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860" w:type="dxa"/>
            <w:tcBorders>
              <w:tl2br w:val="nil"/>
              <w:tr2bl w:val="nil"/>
            </w:tcBorders>
            <w:noWrap/>
            <w:vAlign w:val="center"/>
          </w:tcPr>
          <w:p w14:paraId="4FA759B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900" w:type="dxa"/>
            <w:tcBorders>
              <w:tl2br w:val="nil"/>
              <w:tr2bl w:val="nil"/>
            </w:tcBorders>
            <w:noWrap/>
            <w:vAlign w:val="center"/>
          </w:tcPr>
          <w:p w14:paraId="584EAD5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r>
      <w:tr w14:paraId="0724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90D14E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11CDFF4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14A10730">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2326531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872127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39</w:t>
            </w:r>
          </w:p>
        </w:tc>
        <w:tc>
          <w:tcPr>
            <w:tcW w:w="860" w:type="dxa"/>
            <w:tcBorders>
              <w:tl2br w:val="nil"/>
              <w:tr2bl w:val="nil"/>
            </w:tcBorders>
            <w:noWrap/>
            <w:vAlign w:val="center"/>
          </w:tcPr>
          <w:p w14:paraId="1A15A4B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6EE6FB8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156</w:t>
            </w:r>
          </w:p>
        </w:tc>
      </w:tr>
      <w:tr w14:paraId="307C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765D233">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E3CE9CC">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3981309D">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602D3EC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40FF81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27</w:t>
            </w:r>
          </w:p>
        </w:tc>
        <w:tc>
          <w:tcPr>
            <w:tcW w:w="860" w:type="dxa"/>
            <w:tcBorders>
              <w:tl2br w:val="nil"/>
              <w:tr2bl w:val="nil"/>
            </w:tcBorders>
            <w:noWrap/>
            <w:vAlign w:val="center"/>
          </w:tcPr>
          <w:p w14:paraId="1A4D6A5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2BBE21A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108</w:t>
            </w:r>
          </w:p>
        </w:tc>
      </w:tr>
      <w:tr w14:paraId="21B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103C5DB2">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48E9C74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3F7C026D">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43C697C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51C9FF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42</w:t>
            </w:r>
          </w:p>
        </w:tc>
        <w:tc>
          <w:tcPr>
            <w:tcW w:w="860" w:type="dxa"/>
            <w:tcBorders>
              <w:tl2br w:val="nil"/>
              <w:tr2bl w:val="nil"/>
            </w:tcBorders>
            <w:noWrap/>
            <w:vAlign w:val="center"/>
          </w:tcPr>
          <w:p w14:paraId="7C2B370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27F2C46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84</w:t>
            </w:r>
          </w:p>
        </w:tc>
      </w:tr>
      <w:tr w14:paraId="1A79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853F89A">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7E54BC4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448FDF2A">
            <w:pPr>
              <w:widowControl/>
              <w:spacing w:line="360" w:lineRule="auto"/>
              <w:rPr>
                <w:rFonts w:ascii="宋体" w:hAnsi="宋体" w:cs="宋体"/>
                <w:color w:val="000000"/>
                <w:kern w:val="0"/>
                <w:szCs w:val="21"/>
              </w:rPr>
            </w:pPr>
            <w:r>
              <w:rPr>
                <w:rFonts w:hint="eastAsia" w:ascii="宋体" w:hAnsi="宋体" w:cs="宋体"/>
                <w:color w:val="000000"/>
                <w:kern w:val="0"/>
                <w:szCs w:val="21"/>
              </w:rPr>
              <w:t>287*592*534</w:t>
            </w:r>
          </w:p>
        </w:tc>
        <w:tc>
          <w:tcPr>
            <w:tcW w:w="1040" w:type="dxa"/>
            <w:tcBorders>
              <w:tl2br w:val="nil"/>
              <w:tr2bl w:val="nil"/>
            </w:tcBorders>
            <w:noWrap/>
            <w:vAlign w:val="center"/>
          </w:tcPr>
          <w:p w14:paraId="10A4D7E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7CC889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28</w:t>
            </w:r>
          </w:p>
        </w:tc>
        <w:tc>
          <w:tcPr>
            <w:tcW w:w="860" w:type="dxa"/>
            <w:tcBorders>
              <w:tl2br w:val="nil"/>
              <w:tr2bl w:val="nil"/>
            </w:tcBorders>
            <w:noWrap/>
            <w:vAlign w:val="center"/>
          </w:tcPr>
          <w:p w14:paraId="0E995B5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6602D14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56</w:t>
            </w:r>
          </w:p>
        </w:tc>
      </w:tr>
      <w:tr w14:paraId="7668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5E7D057">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FE6314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6A8F037F">
            <w:pPr>
              <w:widowControl/>
              <w:spacing w:line="360" w:lineRule="auto"/>
              <w:rPr>
                <w:rFonts w:ascii="宋体" w:hAnsi="宋体" w:cs="宋体"/>
                <w:color w:val="000000"/>
                <w:kern w:val="0"/>
                <w:szCs w:val="21"/>
              </w:rPr>
            </w:pPr>
            <w:r>
              <w:rPr>
                <w:rFonts w:hint="eastAsia" w:ascii="宋体" w:hAnsi="宋体" w:cs="宋体"/>
                <w:color w:val="000000"/>
                <w:kern w:val="0"/>
                <w:szCs w:val="21"/>
              </w:rPr>
              <w:t>595*595*25</w:t>
            </w:r>
          </w:p>
        </w:tc>
        <w:tc>
          <w:tcPr>
            <w:tcW w:w="1040" w:type="dxa"/>
            <w:tcBorders>
              <w:tl2br w:val="nil"/>
              <w:tr2bl w:val="nil"/>
            </w:tcBorders>
            <w:noWrap/>
            <w:vAlign w:val="center"/>
          </w:tcPr>
          <w:p w14:paraId="12FE36B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F29FD1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31987D8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522D2BA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r>
      <w:tr w14:paraId="7C00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1967FBC">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62B9E7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25109CBF">
            <w:pPr>
              <w:widowControl/>
              <w:spacing w:line="360" w:lineRule="auto"/>
              <w:rPr>
                <w:rFonts w:ascii="宋体" w:hAnsi="宋体" w:cs="宋体"/>
                <w:color w:val="000000"/>
                <w:kern w:val="0"/>
                <w:szCs w:val="21"/>
              </w:rPr>
            </w:pPr>
            <w:r>
              <w:rPr>
                <w:rFonts w:hint="eastAsia" w:ascii="宋体" w:hAnsi="宋体" w:cs="宋体"/>
                <w:color w:val="000000"/>
                <w:kern w:val="0"/>
                <w:szCs w:val="21"/>
              </w:rPr>
              <w:t>595*395*25</w:t>
            </w:r>
          </w:p>
        </w:tc>
        <w:tc>
          <w:tcPr>
            <w:tcW w:w="1040" w:type="dxa"/>
            <w:tcBorders>
              <w:tl2br w:val="nil"/>
              <w:tr2bl w:val="nil"/>
            </w:tcBorders>
            <w:noWrap/>
            <w:vAlign w:val="center"/>
          </w:tcPr>
          <w:p w14:paraId="20522D4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9C5CD2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239D39C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67D8540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r>
      <w:tr w14:paraId="787A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CDA2EF7">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2A023A3">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5B50341E">
            <w:pPr>
              <w:widowControl/>
              <w:spacing w:line="360" w:lineRule="auto"/>
              <w:rPr>
                <w:rFonts w:ascii="宋体" w:hAnsi="宋体" w:cs="宋体"/>
                <w:color w:val="000000"/>
                <w:kern w:val="0"/>
                <w:szCs w:val="21"/>
              </w:rPr>
            </w:pPr>
            <w:r>
              <w:rPr>
                <w:rFonts w:hint="eastAsia" w:ascii="宋体" w:hAnsi="宋体" w:cs="宋体"/>
                <w:color w:val="000000"/>
                <w:kern w:val="0"/>
                <w:szCs w:val="21"/>
              </w:rPr>
              <w:t>595*595*450</w:t>
            </w:r>
          </w:p>
        </w:tc>
        <w:tc>
          <w:tcPr>
            <w:tcW w:w="1040" w:type="dxa"/>
            <w:tcBorders>
              <w:tl2br w:val="nil"/>
              <w:tr2bl w:val="nil"/>
            </w:tcBorders>
            <w:noWrap/>
            <w:vAlign w:val="center"/>
          </w:tcPr>
          <w:p w14:paraId="0C4444E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9B7113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68ACFCD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6453BE1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r>
      <w:tr w14:paraId="73BF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3F4BDD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1CF04F2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7B3C46D2">
            <w:pPr>
              <w:widowControl/>
              <w:spacing w:line="360" w:lineRule="auto"/>
              <w:rPr>
                <w:rFonts w:ascii="宋体" w:hAnsi="宋体" w:cs="宋体"/>
                <w:color w:val="000000"/>
                <w:kern w:val="0"/>
                <w:szCs w:val="21"/>
              </w:rPr>
            </w:pPr>
            <w:r>
              <w:rPr>
                <w:rFonts w:hint="eastAsia" w:ascii="宋体" w:hAnsi="宋体" w:cs="宋体"/>
                <w:color w:val="000000"/>
                <w:kern w:val="0"/>
                <w:szCs w:val="21"/>
              </w:rPr>
              <w:t>595*395*450</w:t>
            </w:r>
          </w:p>
        </w:tc>
        <w:tc>
          <w:tcPr>
            <w:tcW w:w="1040" w:type="dxa"/>
            <w:tcBorders>
              <w:tl2br w:val="nil"/>
              <w:tr2bl w:val="nil"/>
            </w:tcBorders>
            <w:noWrap/>
            <w:vAlign w:val="center"/>
          </w:tcPr>
          <w:p w14:paraId="35FC38D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83C108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1D90503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1F0B32E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r>
      <w:tr w14:paraId="231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CEEE928">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0A9EC40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回风过滤器</w:t>
            </w:r>
          </w:p>
        </w:tc>
        <w:tc>
          <w:tcPr>
            <w:tcW w:w="1540" w:type="dxa"/>
            <w:tcBorders>
              <w:tl2br w:val="nil"/>
              <w:tr2bl w:val="nil"/>
            </w:tcBorders>
            <w:noWrap/>
            <w:vAlign w:val="center"/>
          </w:tcPr>
          <w:p w14:paraId="460454F3">
            <w:pPr>
              <w:widowControl/>
              <w:spacing w:line="360" w:lineRule="auto"/>
              <w:rPr>
                <w:rFonts w:ascii="宋体" w:hAnsi="宋体" w:cs="宋体"/>
                <w:color w:val="000000"/>
                <w:kern w:val="0"/>
                <w:szCs w:val="21"/>
              </w:rPr>
            </w:pPr>
            <w:r>
              <w:rPr>
                <w:rFonts w:hint="eastAsia" w:ascii="宋体" w:hAnsi="宋体" w:cs="宋体"/>
                <w:color w:val="000000"/>
                <w:kern w:val="0"/>
                <w:szCs w:val="21"/>
              </w:rPr>
              <w:t>600*400*46</w:t>
            </w:r>
          </w:p>
        </w:tc>
        <w:tc>
          <w:tcPr>
            <w:tcW w:w="1040" w:type="dxa"/>
            <w:tcBorders>
              <w:tl2br w:val="nil"/>
              <w:tr2bl w:val="nil"/>
            </w:tcBorders>
            <w:noWrap/>
            <w:vAlign w:val="center"/>
          </w:tcPr>
          <w:p w14:paraId="584D691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ECDEEC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122</w:t>
            </w:r>
          </w:p>
        </w:tc>
        <w:tc>
          <w:tcPr>
            <w:tcW w:w="860" w:type="dxa"/>
            <w:tcBorders>
              <w:tl2br w:val="nil"/>
              <w:tr2bl w:val="nil"/>
            </w:tcBorders>
            <w:noWrap/>
            <w:vAlign w:val="center"/>
          </w:tcPr>
          <w:p w14:paraId="1793E81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6F5EF55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244</w:t>
            </w:r>
          </w:p>
        </w:tc>
      </w:tr>
      <w:tr w14:paraId="4BDA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10E28B1B">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7BC536A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5F8A0BA5">
            <w:pPr>
              <w:widowControl/>
              <w:spacing w:line="360" w:lineRule="auto"/>
              <w:rPr>
                <w:rFonts w:ascii="宋体" w:hAnsi="宋体" w:cs="宋体"/>
                <w:color w:val="000000"/>
                <w:kern w:val="0"/>
                <w:szCs w:val="21"/>
              </w:rPr>
            </w:pPr>
            <w:r>
              <w:rPr>
                <w:rFonts w:hint="eastAsia" w:ascii="宋体" w:hAnsi="宋体" w:cs="宋体"/>
                <w:color w:val="000000"/>
                <w:kern w:val="0"/>
                <w:szCs w:val="21"/>
              </w:rPr>
              <w:t>300*300*46</w:t>
            </w:r>
          </w:p>
        </w:tc>
        <w:tc>
          <w:tcPr>
            <w:tcW w:w="1040" w:type="dxa"/>
            <w:tcBorders>
              <w:tl2br w:val="nil"/>
              <w:tr2bl w:val="nil"/>
            </w:tcBorders>
            <w:noWrap/>
            <w:vAlign w:val="center"/>
          </w:tcPr>
          <w:p w14:paraId="364CD59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0D4F6C6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35</w:t>
            </w:r>
          </w:p>
        </w:tc>
        <w:tc>
          <w:tcPr>
            <w:tcW w:w="860" w:type="dxa"/>
            <w:tcBorders>
              <w:tl2br w:val="nil"/>
              <w:tr2bl w:val="nil"/>
            </w:tcBorders>
            <w:noWrap/>
            <w:vAlign w:val="center"/>
          </w:tcPr>
          <w:p w14:paraId="1248301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0D62A7A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70</w:t>
            </w:r>
          </w:p>
        </w:tc>
      </w:tr>
      <w:tr w14:paraId="5310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294CE8B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血液病房</w:t>
            </w:r>
          </w:p>
        </w:tc>
        <w:tc>
          <w:tcPr>
            <w:tcW w:w="2260" w:type="dxa"/>
            <w:tcBorders>
              <w:tl2br w:val="nil"/>
              <w:tr2bl w:val="nil"/>
            </w:tcBorders>
            <w:noWrap/>
            <w:vAlign w:val="center"/>
          </w:tcPr>
          <w:p w14:paraId="52B5173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初效过滤器（子母架）</w:t>
            </w:r>
          </w:p>
        </w:tc>
        <w:tc>
          <w:tcPr>
            <w:tcW w:w="1540" w:type="dxa"/>
            <w:tcBorders>
              <w:tl2br w:val="nil"/>
              <w:tr2bl w:val="nil"/>
            </w:tcBorders>
            <w:noWrap/>
            <w:vAlign w:val="center"/>
          </w:tcPr>
          <w:p w14:paraId="243ADEDF">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65C8178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1A3318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60" w:type="dxa"/>
            <w:tcBorders>
              <w:tl2br w:val="nil"/>
              <w:tr2bl w:val="nil"/>
            </w:tcBorders>
            <w:noWrap/>
            <w:vAlign w:val="center"/>
          </w:tcPr>
          <w:p w14:paraId="558BB13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73EBF23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w:t>
            </w:r>
          </w:p>
        </w:tc>
      </w:tr>
      <w:tr w14:paraId="0C22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019A3A8">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70FBA5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初效过滤器（子母架）</w:t>
            </w:r>
          </w:p>
        </w:tc>
        <w:tc>
          <w:tcPr>
            <w:tcW w:w="1540" w:type="dxa"/>
            <w:tcBorders>
              <w:tl2br w:val="nil"/>
              <w:tr2bl w:val="nil"/>
            </w:tcBorders>
            <w:noWrap/>
            <w:vAlign w:val="center"/>
          </w:tcPr>
          <w:p w14:paraId="1D6842E7">
            <w:pPr>
              <w:widowControl/>
              <w:spacing w:line="360" w:lineRule="auto"/>
              <w:rPr>
                <w:rFonts w:ascii="宋体" w:hAnsi="宋体" w:cs="宋体"/>
                <w:color w:val="000000"/>
                <w:kern w:val="0"/>
                <w:szCs w:val="21"/>
              </w:rPr>
            </w:pPr>
            <w:r>
              <w:rPr>
                <w:rFonts w:hint="eastAsia" w:ascii="宋体" w:hAnsi="宋体" w:cs="宋体"/>
                <w:color w:val="000000"/>
                <w:kern w:val="0"/>
                <w:szCs w:val="21"/>
              </w:rPr>
              <w:t>592*287*46</w:t>
            </w:r>
          </w:p>
        </w:tc>
        <w:tc>
          <w:tcPr>
            <w:tcW w:w="1040" w:type="dxa"/>
            <w:tcBorders>
              <w:tl2br w:val="nil"/>
              <w:tr2bl w:val="nil"/>
            </w:tcBorders>
            <w:noWrap/>
            <w:vAlign w:val="center"/>
          </w:tcPr>
          <w:p w14:paraId="139187E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170C79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60" w:type="dxa"/>
            <w:tcBorders>
              <w:tl2br w:val="nil"/>
              <w:tr2bl w:val="nil"/>
            </w:tcBorders>
            <w:noWrap/>
            <w:vAlign w:val="center"/>
          </w:tcPr>
          <w:p w14:paraId="243F48D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1F28F47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w:t>
            </w:r>
          </w:p>
        </w:tc>
      </w:tr>
      <w:tr w14:paraId="00DC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545D1C1">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1353A6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469B8394">
            <w:pPr>
              <w:widowControl/>
              <w:spacing w:line="360" w:lineRule="auto"/>
              <w:rPr>
                <w:rFonts w:ascii="宋体" w:hAnsi="宋体" w:cs="宋体"/>
                <w:color w:val="000000"/>
                <w:kern w:val="0"/>
                <w:szCs w:val="21"/>
              </w:rPr>
            </w:pPr>
            <w:r>
              <w:rPr>
                <w:rFonts w:hint="eastAsia" w:ascii="宋体" w:hAnsi="宋体" w:cs="宋体"/>
                <w:color w:val="000000"/>
                <w:kern w:val="0"/>
                <w:szCs w:val="21"/>
              </w:rPr>
              <w:t>592*592*360</w:t>
            </w:r>
          </w:p>
        </w:tc>
        <w:tc>
          <w:tcPr>
            <w:tcW w:w="1040" w:type="dxa"/>
            <w:tcBorders>
              <w:tl2br w:val="nil"/>
              <w:tr2bl w:val="nil"/>
            </w:tcBorders>
            <w:noWrap/>
            <w:vAlign w:val="center"/>
          </w:tcPr>
          <w:p w14:paraId="6D6ECAB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E112AE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60" w:type="dxa"/>
            <w:tcBorders>
              <w:tl2br w:val="nil"/>
              <w:tr2bl w:val="nil"/>
            </w:tcBorders>
            <w:noWrap/>
            <w:vAlign w:val="center"/>
          </w:tcPr>
          <w:p w14:paraId="2F5F076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0FD2C2A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r>
      <w:tr w14:paraId="1DFF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54F80A4">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05BE90E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5BAFCB7B">
            <w:pPr>
              <w:widowControl/>
              <w:spacing w:line="360" w:lineRule="auto"/>
              <w:rPr>
                <w:rFonts w:ascii="宋体" w:hAnsi="宋体" w:cs="宋体"/>
                <w:color w:val="000000"/>
                <w:kern w:val="0"/>
                <w:szCs w:val="21"/>
              </w:rPr>
            </w:pPr>
            <w:r>
              <w:rPr>
                <w:rFonts w:hint="eastAsia" w:ascii="宋体" w:hAnsi="宋体" w:cs="宋体"/>
                <w:color w:val="000000"/>
                <w:kern w:val="0"/>
                <w:szCs w:val="21"/>
              </w:rPr>
              <w:t>592*287*360</w:t>
            </w:r>
          </w:p>
        </w:tc>
        <w:tc>
          <w:tcPr>
            <w:tcW w:w="1040" w:type="dxa"/>
            <w:tcBorders>
              <w:tl2br w:val="nil"/>
              <w:tr2bl w:val="nil"/>
            </w:tcBorders>
            <w:noWrap/>
            <w:vAlign w:val="center"/>
          </w:tcPr>
          <w:p w14:paraId="4027835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9B1FAB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60" w:type="dxa"/>
            <w:tcBorders>
              <w:tl2br w:val="nil"/>
              <w:tr2bl w:val="nil"/>
            </w:tcBorders>
            <w:noWrap/>
            <w:vAlign w:val="center"/>
          </w:tcPr>
          <w:p w14:paraId="7A24A3F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22845E0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r>
      <w:tr w14:paraId="696F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A99B173">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4B2AF9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亚高效过滤器</w:t>
            </w:r>
          </w:p>
        </w:tc>
        <w:tc>
          <w:tcPr>
            <w:tcW w:w="1540" w:type="dxa"/>
            <w:tcBorders>
              <w:tl2br w:val="nil"/>
              <w:tr2bl w:val="nil"/>
            </w:tcBorders>
            <w:noWrap/>
            <w:vAlign w:val="center"/>
          </w:tcPr>
          <w:p w14:paraId="4662A620">
            <w:pPr>
              <w:widowControl/>
              <w:spacing w:line="360" w:lineRule="auto"/>
              <w:rPr>
                <w:rFonts w:ascii="宋体" w:hAnsi="宋体" w:cs="宋体"/>
                <w:color w:val="000000"/>
                <w:kern w:val="0"/>
                <w:szCs w:val="21"/>
              </w:rPr>
            </w:pPr>
            <w:r>
              <w:rPr>
                <w:rFonts w:hint="eastAsia" w:ascii="宋体" w:hAnsi="宋体" w:cs="宋体"/>
                <w:color w:val="000000"/>
                <w:kern w:val="0"/>
                <w:szCs w:val="21"/>
              </w:rPr>
              <w:t>592*592*290</w:t>
            </w:r>
          </w:p>
        </w:tc>
        <w:tc>
          <w:tcPr>
            <w:tcW w:w="1040" w:type="dxa"/>
            <w:tcBorders>
              <w:tl2br w:val="nil"/>
              <w:tr2bl w:val="nil"/>
            </w:tcBorders>
            <w:noWrap/>
            <w:vAlign w:val="center"/>
          </w:tcPr>
          <w:p w14:paraId="2E739E2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061AFF7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60" w:type="dxa"/>
            <w:tcBorders>
              <w:tl2br w:val="nil"/>
              <w:tr2bl w:val="nil"/>
            </w:tcBorders>
            <w:noWrap/>
            <w:vAlign w:val="center"/>
          </w:tcPr>
          <w:p w14:paraId="6B8FC5D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900" w:type="dxa"/>
            <w:tcBorders>
              <w:tl2br w:val="nil"/>
              <w:tr2bl w:val="nil"/>
            </w:tcBorders>
            <w:noWrap/>
            <w:vAlign w:val="center"/>
          </w:tcPr>
          <w:p w14:paraId="2E30DE4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r>
      <w:tr w14:paraId="1A5C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36A4589">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3B1B92C">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亚高效过滤器</w:t>
            </w:r>
          </w:p>
        </w:tc>
        <w:tc>
          <w:tcPr>
            <w:tcW w:w="1540" w:type="dxa"/>
            <w:tcBorders>
              <w:tl2br w:val="nil"/>
              <w:tr2bl w:val="nil"/>
            </w:tcBorders>
            <w:noWrap/>
            <w:vAlign w:val="center"/>
          </w:tcPr>
          <w:p w14:paraId="148F18E5">
            <w:pPr>
              <w:widowControl/>
              <w:spacing w:line="360" w:lineRule="auto"/>
              <w:rPr>
                <w:rFonts w:ascii="宋体" w:hAnsi="宋体" w:cs="宋体"/>
                <w:color w:val="000000"/>
                <w:kern w:val="0"/>
                <w:szCs w:val="21"/>
              </w:rPr>
            </w:pPr>
            <w:r>
              <w:rPr>
                <w:rFonts w:hint="eastAsia" w:ascii="宋体" w:hAnsi="宋体" w:cs="宋体"/>
                <w:color w:val="000000"/>
                <w:kern w:val="0"/>
                <w:szCs w:val="21"/>
              </w:rPr>
              <w:t>592*287*290</w:t>
            </w:r>
          </w:p>
        </w:tc>
        <w:tc>
          <w:tcPr>
            <w:tcW w:w="1040" w:type="dxa"/>
            <w:tcBorders>
              <w:tl2br w:val="nil"/>
              <w:tr2bl w:val="nil"/>
            </w:tcBorders>
            <w:noWrap/>
            <w:vAlign w:val="center"/>
          </w:tcPr>
          <w:p w14:paraId="54BE675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0DDE75D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60" w:type="dxa"/>
            <w:tcBorders>
              <w:tl2br w:val="nil"/>
              <w:tr2bl w:val="nil"/>
            </w:tcBorders>
            <w:noWrap/>
            <w:vAlign w:val="center"/>
          </w:tcPr>
          <w:p w14:paraId="53EBB6C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900" w:type="dxa"/>
            <w:tcBorders>
              <w:tl2br w:val="nil"/>
              <w:tr2bl w:val="nil"/>
            </w:tcBorders>
            <w:noWrap/>
            <w:vAlign w:val="center"/>
          </w:tcPr>
          <w:p w14:paraId="7EC5222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r>
      <w:tr w14:paraId="774C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65ADFA3">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3B517A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02B503C1">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0EE4928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0122F1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c>
          <w:tcPr>
            <w:tcW w:w="860" w:type="dxa"/>
            <w:tcBorders>
              <w:tl2br w:val="nil"/>
              <w:tr2bl w:val="nil"/>
            </w:tcBorders>
            <w:noWrap/>
            <w:vAlign w:val="center"/>
          </w:tcPr>
          <w:p w14:paraId="44D28C0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13C51C8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80</w:t>
            </w:r>
          </w:p>
        </w:tc>
      </w:tr>
      <w:tr w14:paraId="45BD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798E836F">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0640AE2">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368FB271">
            <w:pPr>
              <w:widowControl/>
              <w:spacing w:line="360" w:lineRule="auto"/>
              <w:rPr>
                <w:rFonts w:ascii="宋体" w:hAnsi="宋体" w:cs="宋体"/>
                <w:color w:val="000000"/>
                <w:kern w:val="0"/>
                <w:szCs w:val="21"/>
              </w:rPr>
            </w:pPr>
            <w:r>
              <w:rPr>
                <w:rFonts w:hint="eastAsia" w:ascii="宋体" w:hAnsi="宋体" w:cs="宋体"/>
                <w:color w:val="000000"/>
                <w:kern w:val="0"/>
                <w:szCs w:val="21"/>
              </w:rPr>
              <w:t>592*287*46</w:t>
            </w:r>
          </w:p>
        </w:tc>
        <w:tc>
          <w:tcPr>
            <w:tcW w:w="1040" w:type="dxa"/>
            <w:tcBorders>
              <w:tl2br w:val="nil"/>
              <w:tr2bl w:val="nil"/>
            </w:tcBorders>
            <w:noWrap/>
            <w:vAlign w:val="center"/>
          </w:tcPr>
          <w:p w14:paraId="5380967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C68C51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34</w:t>
            </w:r>
          </w:p>
        </w:tc>
        <w:tc>
          <w:tcPr>
            <w:tcW w:w="860" w:type="dxa"/>
            <w:tcBorders>
              <w:tl2br w:val="nil"/>
              <w:tr2bl w:val="nil"/>
            </w:tcBorders>
            <w:noWrap/>
            <w:vAlign w:val="center"/>
          </w:tcPr>
          <w:p w14:paraId="73F4B84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431D499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136</w:t>
            </w:r>
          </w:p>
        </w:tc>
      </w:tr>
      <w:tr w14:paraId="79C7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05B7CF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4D48B71">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3DE82743">
            <w:pPr>
              <w:widowControl/>
              <w:spacing w:line="360" w:lineRule="auto"/>
              <w:rPr>
                <w:rFonts w:ascii="宋体" w:hAnsi="宋体" w:cs="宋体"/>
                <w:color w:val="000000"/>
                <w:kern w:val="0"/>
                <w:szCs w:val="21"/>
              </w:rPr>
            </w:pPr>
            <w:r>
              <w:rPr>
                <w:rFonts w:hint="eastAsia" w:ascii="宋体" w:hAnsi="宋体" w:cs="宋体"/>
                <w:color w:val="000000"/>
                <w:kern w:val="0"/>
                <w:szCs w:val="21"/>
              </w:rPr>
              <w:t>287*287*46</w:t>
            </w:r>
          </w:p>
        </w:tc>
        <w:tc>
          <w:tcPr>
            <w:tcW w:w="1040" w:type="dxa"/>
            <w:tcBorders>
              <w:tl2br w:val="nil"/>
              <w:tr2bl w:val="nil"/>
            </w:tcBorders>
            <w:noWrap/>
            <w:vAlign w:val="center"/>
          </w:tcPr>
          <w:p w14:paraId="5B625B9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A8A1A6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w:t>
            </w:r>
          </w:p>
        </w:tc>
        <w:tc>
          <w:tcPr>
            <w:tcW w:w="860" w:type="dxa"/>
            <w:tcBorders>
              <w:tl2br w:val="nil"/>
              <w:tr2bl w:val="nil"/>
            </w:tcBorders>
            <w:noWrap/>
            <w:vAlign w:val="center"/>
          </w:tcPr>
          <w:p w14:paraId="146CC0B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2340C8B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56</w:t>
            </w:r>
          </w:p>
        </w:tc>
      </w:tr>
      <w:tr w14:paraId="64F2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1B5E8F87">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1C6FAFE">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0A56BAF3">
            <w:pPr>
              <w:widowControl/>
              <w:spacing w:line="360" w:lineRule="auto"/>
              <w:rPr>
                <w:rFonts w:ascii="宋体" w:hAnsi="宋体" w:cs="宋体"/>
                <w:color w:val="000000"/>
                <w:kern w:val="0"/>
                <w:szCs w:val="21"/>
              </w:rPr>
            </w:pPr>
            <w:r>
              <w:rPr>
                <w:rFonts w:hint="eastAsia" w:ascii="宋体" w:hAnsi="宋体" w:cs="宋体"/>
                <w:color w:val="000000"/>
                <w:kern w:val="0"/>
                <w:szCs w:val="21"/>
              </w:rPr>
              <w:t>592*592*360</w:t>
            </w:r>
          </w:p>
        </w:tc>
        <w:tc>
          <w:tcPr>
            <w:tcW w:w="1040" w:type="dxa"/>
            <w:tcBorders>
              <w:tl2br w:val="nil"/>
              <w:tr2bl w:val="nil"/>
            </w:tcBorders>
            <w:noWrap/>
            <w:vAlign w:val="center"/>
          </w:tcPr>
          <w:p w14:paraId="25F03D0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06360FF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c>
          <w:tcPr>
            <w:tcW w:w="860" w:type="dxa"/>
            <w:tcBorders>
              <w:tl2br w:val="nil"/>
              <w:tr2bl w:val="nil"/>
            </w:tcBorders>
            <w:noWrap/>
            <w:vAlign w:val="center"/>
          </w:tcPr>
          <w:p w14:paraId="210946D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10AE66C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40</w:t>
            </w:r>
          </w:p>
        </w:tc>
      </w:tr>
      <w:tr w14:paraId="352E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CC6C25F">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453CD6F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70449F9A">
            <w:pPr>
              <w:widowControl/>
              <w:spacing w:line="360" w:lineRule="auto"/>
              <w:rPr>
                <w:rFonts w:ascii="宋体" w:hAnsi="宋体" w:cs="宋体"/>
                <w:color w:val="000000"/>
                <w:kern w:val="0"/>
                <w:szCs w:val="21"/>
              </w:rPr>
            </w:pPr>
            <w:r>
              <w:rPr>
                <w:rFonts w:hint="eastAsia" w:ascii="宋体" w:hAnsi="宋体" w:cs="宋体"/>
                <w:color w:val="000000"/>
                <w:kern w:val="0"/>
                <w:szCs w:val="21"/>
              </w:rPr>
              <w:t>592*287*360</w:t>
            </w:r>
          </w:p>
        </w:tc>
        <w:tc>
          <w:tcPr>
            <w:tcW w:w="1040" w:type="dxa"/>
            <w:tcBorders>
              <w:tl2br w:val="nil"/>
              <w:tr2bl w:val="nil"/>
            </w:tcBorders>
            <w:noWrap/>
            <w:vAlign w:val="center"/>
          </w:tcPr>
          <w:p w14:paraId="44ABE6B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497476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34</w:t>
            </w:r>
          </w:p>
        </w:tc>
        <w:tc>
          <w:tcPr>
            <w:tcW w:w="860" w:type="dxa"/>
            <w:tcBorders>
              <w:tl2br w:val="nil"/>
              <w:tr2bl w:val="nil"/>
            </w:tcBorders>
            <w:noWrap/>
            <w:vAlign w:val="center"/>
          </w:tcPr>
          <w:p w14:paraId="624D0BB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15BF424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68</w:t>
            </w:r>
          </w:p>
        </w:tc>
      </w:tr>
      <w:tr w14:paraId="12C9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6D4318F">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0F08A2D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7D291626">
            <w:pPr>
              <w:widowControl/>
              <w:spacing w:line="360" w:lineRule="auto"/>
              <w:rPr>
                <w:rFonts w:ascii="宋体" w:hAnsi="宋体" w:cs="宋体"/>
                <w:color w:val="000000"/>
                <w:kern w:val="0"/>
                <w:szCs w:val="21"/>
              </w:rPr>
            </w:pPr>
            <w:r>
              <w:rPr>
                <w:rFonts w:hint="eastAsia" w:ascii="宋体" w:hAnsi="宋体" w:cs="宋体"/>
                <w:color w:val="000000"/>
                <w:kern w:val="0"/>
                <w:szCs w:val="21"/>
              </w:rPr>
              <w:t>287*287*360</w:t>
            </w:r>
          </w:p>
        </w:tc>
        <w:tc>
          <w:tcPr>
            <w:tcW w:w="1040" w:type="dxa"/>
            <w:tcBorders>
              <w:tl2br w:val="nil"/>
              <w:tr2bl w:val="nil"/>
            </w:tcBorders>
            <w:noWrap/>
            <w:vAlign w:val="center"/>
          </w:tcPr>
          <w:p w14:paraId="66EA53E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0E4E43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w:t>
            </w:r>
          </w:p>
        </w:tc>
        <w:tc>
          <w:tcPr>
            <w:tcW w:w="860" w:type="dxa"/>
            <w:tcBorders>
              <w:tl2br w:val="nil"/>
              <w:tr2bl w:val="nil"/>
            </w:tcBorders>
            <w:noWrap/>
            <w:vAlign w:val="center"/>
          </w:tcPr>
          <w:p w14:paraId="7BDFFE0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1241A57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28</w:t>
            </w:r>
          </w:p>
        </w:tc>
      </w:tr>
      <w:tr w14:paraId="6059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15815896">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5EEEB3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3581081B">
            <w:pPr>
              <w:widowControl/>
              <w:spacing w:line="360" w:lineRule="auto"/>
              <w:rPr>
                <w:rFonts w:ascii="宋体" w:hAnsi="宋体" w:cs="宋体"/>
                <w:color w:val="000000"/>
                <w:kern w:val="0"/>
                <w:szCs w:val="21"/>
              </w:rPr>
            </w:pPr>
            <w:r>
              <w:rPr>
                <w:rFonts w:hint="eastAsia" w:ascii="宋体" w:hAnsi="宋体" w:cs="宋体"/>
                <w:color w:val="000000"/>
                <w:kern w:val="0"/>
                <w:szCs w:val="21"/>
              </w:rPr>
              <w:t>630*350*46</w:t>
            </w:r>
          </w:p>
        </w:tc>
        <w:tc>
          <w:tcPr>
            <w:tcW w:w="1040" w:type="dxa"/>
            <w:tcBorders>
              <w:tl2br w:val="nil"/>
              <w:tr2bl w:val="nil"/>
            </w:tcBorders>
            <w:noWrap/>
            <w:vAlign w:val="center"/>
          </w:tcPr>
          <w:p w14:paraId="62003AE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23D559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w:t>
            </w:r>
          </w:p>
        </w:tc>
        <w:tc>
          <w:tcPr>
            <w:tcW w:w="860" w:type="dxa"/>
            <w:tcBorders>
              <w:tl2br w:val="nil"/>
              <w:tr2bl w:val="nil"/>
            </w:tcBorders>
            <w:noWrap/>
            <w:vAlign w:val="center"/>
          </w:tcPr>
          <w:p w14:paraId="28FC568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4059AB2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128</w:t>
            </w:r>
          </w:p>
        </w:tc>
      </w:tr>
      <w:tr w14:paraId="5069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BE56D54">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406DA98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228A7EF7">
            <w:pPr>
              <w:widowControl/>
              <w:spacing w:line="360" w:lineRule="auto"/>
              <w:rPr>
                <w:rFonts w:ascii="宋体" w:hAnsi="宋体" w:cs="宋体"/>
                <w:color w:val="000000"/>
                <w:kern w:val="0"/>
                <w:szCs w:val="21"/>
              </w:rPr>
            </w:pPr>
            <w:r>
              <w:rPr>
                <w:rFonts w:hint="eastAsia" w:ascii="宋体" w:hAnsi="宋体" w:cs="宋体"/>
                <w:color w:val="000000"/>
                <w:kern w:val="0"/>
                <w:szCs w:val="21"/>
              </w:rPr>
              <w:t>560*550*46</w:t>
            </w:r>
          </w:p>
        </w:tc>
        <w:tc>
          <w:tcPr>
            <w:tcW w:w="1040" w:type="dxa"/>
            <w:tcBorders>
              <w:tl2br w:val="nil"/>
              <w:tr2bl w:val="nil"/>
            </w:tcBorders>
            <w:noWrap/>
            <w:vAlign w:val="center"/>
          </w:tcPr>
          <w:p w14:paraId="50C2F37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172C40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5F6BA88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57AF4FB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r>
      <w:tr w14:paraId="53EB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361772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C2020B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1C75F3B1">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72FF5C2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7F2373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7BD706A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36FCD4C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13E6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F292678">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99A0A0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6CCCFCE8">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60E04F4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D7DDAC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43E2E3C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2F382EE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0D3F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06B56903">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EA211B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0A77564A">
            <w:pPr>
              <w:widowControl/>
              <w:spacing w:line="360" w:lineRule="auto"/>
              <w:rPr>
                <w:rFonts w:ascii="宋体" w:hAnsi="宋体" w:cs="宋体"/>
                <w:color w:val="000000"/>
                <w:kern w:val="0"/>
                <w:szCs w:val="21"/>
              </w:rPr>
            </w:pPr>
            <w:r>
              <w:rPr>
                <w:rFonts w:hint="eastAsia" w:ascii="宋体" w:hAnsi="宋体" w:cs="宋体"/>
                <w:color w:val="000000"/>
                <w:kern w:val="0"/>
                <w:szCs w:val="21"/>
              </w:rPr>
              <w:t>560*550*46</w:t>
            </w:r>
          </w:p>
        </w:tc>
        <w:tc>
          <w:tcPr>
            <w:tcW w:w="1040" w:type="dxa"/>
            <w:tcBorders>
              <w:tl2br w:val="nil"/>
              <w:tr2bl w:val="nil"/>
            </w:tcBorders>
            <w:noWrap/>
            <w:vAlign w:val="center"/>
          </w:tcPr>
          <w:p w14:paraId="37F9270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4BA3BC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12706E6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6819964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r>
      <w:tr w14:paraId="156B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946FFC8">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0D7543B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4AA2A0A2">
            <w:pPr>
              <w:widowControl/>
              <w:spacing w:line="360" w:lineRule="auto"/>
              <w:rPr>
                <w:rFonts w:ascii="宋体" w:hAnsi="宋体" w:cs="宋体"/>
                <w:color w:val="000000"/>
                <w:kern w:val="0"/>
                <w:szCs w:val="21"/>
              </w:rPr>
            </w:pPr>
            <w:r>
              <w:rPr>
                <w:rFonts w:hint="eastAsia" w:ascii="宋体" w:hAnsi="宋体" w:cs="宋体"/>
                <w:color w:val="000000"/>
                <w:kern w:val="0"/>
                <w:szCs w:val="21"/>
              </w:rPr>
              <w:t>630*350*450</w:t>
            </w:r>
          </w:p>
        </w:tc>
        <w:tc>
          <w:tcPr>
            <w:tcW w:w="1040" w:type="dxa"/>
            <w:tcBorders>
              <w:tl2br w:val="nil"/>
              <w:tr2bl w:val="nil"/>
            </w:tcBorders>
            <w:noWrap/>
            <w:vAlign w:val="center"/>
          </w:tcPr>
          <w:p w14:paraId="7FCDE34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94A432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w:t>
            </w:r>
          </w:p>
        </w:tc>
        <w:tc>
          <w:tcPr>
            <w:tcW w:w="860" w:type="dxa"/>
            <w:tcBorders>
              <w:tl2br w:val="nil"/>
              <w:tr2bl w:val="nil"/>
            </w:tcBorders>
            <w:noWrap/>
            <w:vAlign w:val="center"/>
          </w:tcPr>
          <w:p w14:paraId="7E64AF4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0151DD0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64</w:t>
            </w:r>
          </w:p>
        </w:tc>
      </w:tr>
      <w:tr w14:paraId="668E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692CCBE4">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48261E7C">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03360C92">
            <w:pPr>
              <w:widowControl/>
              <w:spacing w:line="360" w:lineRule="auto"/>
              <w:rPr>
                <w:rFonts w:ascii="宋体" w:hAnsi="宋体" w:cs="宋体"/>
                <w:color w:val="000000"/>
                <w:kern w:val="0"/>
                <w:szCs w:val="21"/>
              </w:rPr>
            </w:pPr>
            <w:r>
              <w:rPr>
                <w:rFonts w:hint="eastAsia" w:ascii="宋体" w:hAnsi="宋体" w:cs="宋体"/>
                <w:color w:val="000000"/>
                <w:kern w:val="0"/>
                <w:szCs w:val="21"/>
              </w:rPr>
              <w:t>592*592*360</w:t>
            </w:r>
          </w:p>
        </w:tc>
        <w:tc>
          <w:tcPr>
            <w:tcW w:w="1040" w:type="dxa"/>
            <w:tcBorders>
              <w:tl2br w:val="nil"/>
              <w:tr2bl w:val="nil"/>
            </w:tcBorders>
            <w:noWrap/>
            <w:vAlign w:val="center"/>
          </w:tcPr>
          <w:p w14:paraId="6B2783E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00F115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45C3CED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58BCEAB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4AFD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684620B9">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AECEAF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3ABC4BAD">
            <w:pPr>
              <w:widowControl/>
              <w:spacing w:line="360" w:lineRule="auto"/>
              <w:rPr>
                <w:rFonts w:ascii="宋体" w:hAnsi="宋体" w:cs="宋体"/>
                <w:color w:val="000000"/>
                <w:kern w:val="0"/>
                <w:szCs w:val="21"/>
              </w:rPr>
            </w:pPr>
            <w:r>
              <w:rPr>
                <w:rFonts w:hint="eastAsia" w:ascii="宋体" w:hAnsi="宋体" w:cs="宋体"/>
                <w:color w:val="000000"/>
                <w:kern w:val="0"/>
                <w:szCs w:val="21"/>
              </w:rPr>
              <w:t>287*592*360</w:t>
            </w:r>
          </w:p>
        </w:tc>
        <w:tc>
          <w:tcPr>
            <w:tcW w:w="1040" w:type="dxa"/>
            <w:tcBorders>
              <w:tl2br w:val="nil"/>
              <w:tr2bl w:val="nil"/>
            </w:tcBorders>
            <w:noWrap/>
            <w:vAlign w:val="center"/>
          </w:tcPr>
          <w:p w14:paraId="24A33FC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70C2A2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1B0A938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35715CE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709B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7CFEBCCC">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17E0B0C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32111306">
            <w:pPr>
              <w:widowControl/>
              <w:spacing w:line="360" w:lineRule="auto"/>
              <w:rPr>
                <w:rFonts w:ascii="宋体" w:hAnsi="宋体" w:cs="宋体"/>
                <w:color w:val="000000"/>
                <w:kern w:val="0"/>
                <w:szCs w:val="21"/>
              </w:rPr>
            </w:pPr>
            <w:r>
              <w:rPr>
                <w:rFonts w:hint="eastAsia" w:ascii="宋体" w:hAnsi="宋体" w:cs="宋体"/>
                <w:color w:val="000000"/>
                <w:kern w:val="0"/>
                <w:szCs w:val="21"/>
              </w:rPr>
              <w:t>592*592*420</w:t>
            </w:r>
          </w:p>
        </w:tc>
        <w:tc>
          <w:tcPr>
            <w:tcW w:w="1040" w:type="dxa"/>
            <w:tcBorders>
              <w:tl2br w:val="nil"/>
              <w:tr2bl w:val="nil"/>
            </w:tcBorders>
            <w:noWrap/>
            <w:vAlign w:val="center"/>
          </w:tcPr>
          <w:p w14:paraId="4093225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C7D642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43B025F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6E78026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65A4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7AB235FB">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21DB11F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09DD2306">
            <w:pPr>
              <w:widowControl/>
              <w:spacing w:line="360" w:lineRule="auto"/>
              <w:rPr>
                <w:rFonts w:ascii="宋体" w:hAnsi="宋体" w:cs="宋体"/>
                <w:color w:val="000000"/>
                <w:kern w:val="0"/>
                <w:szCs w:val="21"/>
              </w:rPr>
            </w:pPr>
            <w:r>
              <w:rPr>
                <w:rFonts w:hint="eastAsia" w:ascii="宋体" w:hAnsi="宋体" w:cs="宋体"/>
                <w:color w:val="000000"/>
                <w:kern w:val="0"/>
                <w:szCs w:val="21"/>
              </w:rPr>
              <w:t>560*550*420</w:t>
            </w:r>
          </w:p>
        </w:tc>
        <w:tc>
          <w:tcPr>
            <w:tcW w:w="1040" w:type="dxa"/>
            <w:tcBorders>
              <w:tl2br w:val="nil"/>
              <w:tr2bl w:val="nil"/>
            </w:tcBorders>
            <w:noWrap/>
            <w:vAlign w:val="center"/>
          </w:tcPr>
          <w:p w14:paraId="7960E9F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519DD7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60" w:type="dxa"/>
            <w:tcBorders>
              <w:tl2br w:val="nil"/>
              <w:tr2bl w:val="nil"/>
            </w:tcBorders>
            <w:noWrap/>
            <w:vAlign w:val="center"/>
          </w:tcPr>
          <w:p w14:paraId="1302348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371BC3C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7D6D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F488C4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F40C71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亚高效过滤器</w:t>
            </w:r>
          </w:p>
        </w:tc>
        <w:tc>
          <w:tcPr>
            <w:tcW w:w="1540" w:type="dxa"/>
            <w:tcBorders>
              <w:tl2br w:val="nil"/>
              <w:tr2bl w:val="nil"/>
            </w:tcBorders>
            <w:noWrap/>
            <w:vAlign w:val="center"/>
          </w:tcPr>
          <w:p w14:paraId="7FBC84C2">
            <w:pPr>
              <w:widowControl/>
              <w:spacing w:line="360" w:lineRule="auto"/>
              <w:rPr>
                <w:rFonts w:ascii="宋体" w:hAnsi="宋体" w:cs="宋体"/>
                <w:color w:val="000000"/>
                <w:kern w:val="0"/>
                <w:szCs w:val="21"/>
              </w:rPr>
            </w:pPr>
            <w:r>
              <w:rPr>
                <w:rFonts w:hint="eastAsia" w:ascii="宋体" w:hAnsi="宋体" w:cs="宋体"/>
                <w:color w:val="000000"/>
                <w:kern w:val="0"/>
                <w:szCs w:val="21"/>
              </w:rPr>
              <w:t>592*592*292</w:t>
            </w:r>
          </w:p>
        </w:tc>
        <w:tc>
          <w:tcPr>
            <w:tcW w:w="1040" w:type="dxa"/>
            <w:tcBorders>
              <w:tl2br w:val="nil"/>
              <w:tr2bl w:val="nil"/>
            </w:tcBorders>
            <w:noWrap/>
            <w:vAlign w:val="center"/>
          </w:tcPr>
          <w:p w14:paraId="4D76A66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AAC2DD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4F1B621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900" w:type="dxa"/>
            <w:tcBorders>
              <w:tl2br w:val="nil"/>
              <w:tr2bl w:val="nil"/>
            </w:tcBorders>
            <w:noWrap/>
            <w:vAlign w:val="center"/>
          </w:tcPr>
          <w:p w14:paraId="693BFD3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r>
      <w:tr w14:paraId="449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D777B5E">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8CFEA82">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回风过滤器</w:t>
            </w:r>
          </w:p>
        </w:tc>
        <w:tc>
          <w:tcPr>
            <w:tcW w:w="1540" w:type="dxa"/>
            <w:tcBorders>
              <w:tl2br w:val="nil"/>
              <w:tr2bl w:val="nil"/>
            </w:tcBorders>
            <w:noWrap/>
            <w:vAlign w:val="center"/>
          </w:tcPr>
          <w:p w14:paraId="73275529">
            <w:pPr>
              <w:widowControl/>
              <w:spacing w:line="360" w:lineRule="auto"/>
              <w:rPr>
                <w:rFonts w:ascii="宋体" w:hAnsi="宋体" w:cs="宋体"/>
                <w:color w:val="000000"/>
                <w:kern w:val="0"/>
                <w:szCs w:val="21"/>
              </w:rPr>
            </w:pPr>
            <w:r>
              <w:rPr>
                <w:rFonts w:hint="eastAsia" w:ascii="宋体" w:hAnsi="宋体" w:cs="宋体"/>
                <w:color w:val="000000"/>
                <w:kern w:val="0"/>
                <w:szCs w:val="21"/>
              </w:rPr>
              <w:t>600*400*46</w:t>
            </w:r>
          </w:p>
        </w:tc>
        <w:tc>
          <w:tcPr>
            <w:tcW w:w="1040" w:type="dxa"/>
            <w:tcBorders>
              <w:tl2br w:val="nil"/>
              <w:tr2bl w:val="nil"/>
            </w:tcBorders>
            <w:noWrap/>
            <w:vAlign w:val="center"/>
          </w:tcPr>
          <w:p w14:paraId="7786284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354036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96</w:t>
            </w:r>
          </w:p>
        </w:tc>
        <w:tc>
          <w:tcPr>
            <w:tcW w:w="860" w:type="dxa"/>
            <w:tcBorders>
              <w:tl2br w:val="nil"/>
              <w:tr2bl w:val="nil"/>
            </w:tcBorders>
            <w:noWrap/>
            <w:vAlign w:val="center"/>
          </w:tcPr>
          <w:p w14:paraId="60B84A0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2AF3918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192</w:t>
            </w:r>
          </w:p>
        </w:tc>
      </w:tr>
      <w:tr w14:paraId="05DB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ED887EF">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B6800F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038EFC94">
            <w:pPr>
              <w:widowControl/>
              <w:spacing w:line="360" w:lineRule="auto"/>
              <w:rPr>
                <w:rFonts w:ascii="宋体" w:hAnsi="宋体" w:cs="宋体"/>
                <w:color w:val="000000"/>
                <w:kern w:val="0"/>
                <w:szCs w:val="21"/>
              </w:rPr>
            </w:pPr>
            <w:r>
              <w:rPr>
                <w:rFonts w:hint="eastAsia" w:ascii="宋体" w:hAnsi="宋体" w:cs="宋体"/>
                <w:color w:val="000000"/>
                <w:kern w:val="0"/>
                <w:szCs w:val="21"/>
              </w:rPr>
              <w:t>300*300*46</w:t>
            </w:r>
          </w:p>
        </w:tc>
        <w:tc>
          <w:tcPr>
            <w:tcW w:w="1040" w:type="dxa"/>
            <w:tcBorders>
              <w:tl2br w:val="nil"/>
              <w:tr2bl w:val="nil"/>
            </w:tcBorders>
            <w:noWrap/>
            <w:vAlign w:val="center"/>
          </w:tcPr>
          <w:p w14:paraId="36F3DB5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3D09D7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26</w:t>
            </w:r>
          </w:p>
        </w:tc>
        <w:tc>
          <w:tcPr>
            <w:tcW w:w="860" w:type="dxa"/>
            <w:tcBorders>
              <w:tl2br w:val="nil"/>
              <w:tr2bl w:val="nil"/>
            </w:tcBorders>
            <w:noWrap/>
            <w:vAlign w:val="center"/>
          </w:tcPr>
          <w:p w14:paraId="52E610E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3DA9DC2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52</w:t>
            </w:r>
          </w:p>
        </w:tc>
      </w:tr>
      <w:tr w14:paraId="6C0D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667A1DD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儿科研究所</w:t>
            </w:r>
          </w:p>
        </w:tc>
        <w:tc>
          <w:tcPr>
            <w:tcW w:w="2260" w:type="dxa"/>
            <w:tcBorders>
              <w:tl2br w:val="nil"/>
              <w:tr2bl w:val="nil"/>
            </w:tcBorders>
            <w:noWrap/>
            <w:vAlign w:val="center"/>
          </w:tcPr>
          <w:p w14:paraId="50D3AF0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05D850A6">
            <w:pPr>
              <w:widowControl/>
              <w:spacing w:line="360" w:lineRule="auto"/>
              <w:rPr>
                <w:rFonts w:ascii="宋体" w:hAnsi="宋体" w:cs="宋体"/>
                <w:color w:val="000000"/>
                <w:kern w:val="0"/>
                <w:szCs w:val="21"/>
              </w:rPr>
            </w:pPr>
            <w:r>
              <w:rPr>
                <w:rFonts w:hint="eastAsia" w:ascii="宋体" w:hAnsi="宋体" w:cs="宋体"/>
                <w:color w:val="000000"/>
                <w:kern w:val="0"/>
                <w:szCs w:val="21"/>
              </w:rPr>
              <w:t>595*595*25</w:t>
            </w:r>
          </w:p>
        </w:tc>
        <w:tc>
          <w:tcPr>
            <w:tcW w:w="1040" w:type="dxa"/>
            <w:tcBorders>
              <w:tl2br w:val="nil"/>
              <w:tr2bl w:val="nil"/>
            </w:tcBorders>
            <w:noWrap/>
            <w:vAlign w:val="center"/>
          </w:tcPr>
          <w:p w14:paraId="62DDF71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CD0DBF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60" w:type="dxa"/>
            <w:tcBorders>
              <w:tl2br w:val="nil"/>
              <w:tr2bl w:val="nil"/>
            </w:tcBorders>
            <w:noWrap/>
            <w:vAlign w:val="center"/>
          </w:tcPr>
          <w:p w14:paraId="13B54BC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44B7959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r>
      <w:tr w14:paraId="3ADD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76D8346">
            <w:pPr>
              <w:widowControl/>
              <w:spacing w:line="360" w:lineRule="auto"/>
              <w:jc w:val="center"/>
              <w:rPr>
                <w:rFonts w:ascii="宋体" w:hAnsi="宋体" w:cs="宋体"/>
                <w:color w:val="000000"/>
                <w:kern w:val="0"/>
                <w:szCs w:val="21"/>
              </w:rPr>
            </w:pPr>
          </w:p>
        </w:tc>
        <w:tc>
          <w:tcPr>
            <w:tcW w:w="2260" w:type="dxa"/>
            <w:tcBorders>
              <w:tl2br w:val="nil"/>
              <w:tr2bl w:val="nil"/>
            </w:tcBorders>
            <w:noWrap/>
            <w:vAlign w:val="center"/>
          </w:tcPr>
          <w:p w14:paraId="42EB8CF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79159514">
            <w:pPr>
              <w:widowControl/>
              <w:spacing w:line="360" w:lineRule="auto"/>
              <w:rPr>
                <w:rFonts w:ascii="宋体" w:hAnsi="宋体" w:cs="宋体"/>
                <w:color w:val="000000"/>
                <w:kern w:val="0"/>
                <w:szCs w:val="21"/>
              </w:rPr>
            </w:pPr>
            <w:r>
              <w:rPr>
                <w:rFonts w:hint="eastAsia" w:ascii="宋体" w:hAnsi="宋体" w:cs="宋体"/>
                <w:color w:val="000000"/>
                <w:kern w:val="0"/>
                <w:szCs w:val="21"/>
              </w:rPr>
              <w:t>595*395*25</w:t>
            </w:r>
          </w:p>
        </w:tc>
        <w:tc>
          <w:tcPr>
            <w:tcW w:w="1040" w:type="dxa"/>
            <w:tcBorders>
              <w:tl2br w:val="nil"/>
              <w:tr2bl w:val="nil"/>
            </w:tcBorders>
            <w:noWrap/>
            <w:vAlign w:val="center"/>
          </w:tcPr>
          <w:p w14:paraId="73690D9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8F575E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60" w:type="dxa"/>
            <w:tcBorders>
              <w:tl2br w:val="nil"/>
              <w:tr2bl w:val="nil"/>
            </w:tcBorders>
            <w:noWrap/>
            <w:vAlign w:val="center"/>
          </w:tcPr>
          <w:p w14:paraId="1929419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3EC75DD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r>
      <w:tr w14:paraId="2E0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C633002">
            <w:pPr>
              <w:widowControl/>
              <w:spacing w:line="360" w:lineRule="auto"/>
              <w:jc w:val="center"/>
              <w:rPr>
                <w:rFonts w:ascii="宋体" w:hAnsi="宋体" w:cs="宋体"/>
                <w:color w:val="000000"/>
                <w:kern w:val="0"/>
                <w:szCs w:val="21"/>
              </w:rPr>
            </w:pPr>
          </w:p>
        </w:tc>
        <w:tc>
          <w:tcPr>
            <w:tcW w:w="2260" w:type="dxa"/>
            <w:tcBorders>
              <w:tl2br w:val="nil"/>
              <w:tr2bl w:val="nil"/>
            </w:tcBorders>
            <w:noWrap/>
            <w:vAlign w:val="center"/>
          </w:tcPr>
          <w:p w14:paraId="5639F7F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78E8466A">
            <w:pPr>
              <w:widowControl/>
              <w:spacing w:line="360" w:lineRule="auto"/>
              <w:rPr>
                <w:rFonts w:ascii="宋体" w:hAnsi="宋体" w:cs="宋体"/>
                <w:color w:val="000000"/>
                <w:kern w:val="0"/>
                <w:szCs w:val="21"/>
              </w:rPr>
            </w:pPr>
            <w:r>
              <w:rPr>
                <w:rFonts w:hint="eastAsia" w:ascii="宋体" w:hAnsi="宋体" w:cs="宋体"/>
                <w:color w:val="000000"/>
                <w:kern w:val="0"/>
                <w:szCs w:val="21"/>
              </w:rPr>
              <w:t>595*595*450</w:t>
            </w:r>
          </w:p>
        </w:tc>
        <w:tc>
          <w:tcPr>
            <w:tcW w:w="1040" w:type="dxa"/>
            <w:tcBorders>
              <w:tl2br w:val="nil"/>
              <w:tr2bl w:val="nil"/>
            </w:tcBorders>
            <w:noWrap/>
            <w:vAlign w:val="center"/>
          </w:tcPr>
          <w:p w14:paraId="3A6FC99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88A102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60" w:type="dxa"/>
            <w:tcBorders>
              <w:tl2br w:val="nil"/>
              <w:tr2bl w:val="nil"/>
            </w:tcBorders>
            <w:noWrap/>
            <w:vAlign w:val="center"/>
          </w:tcPr>
          <w:p w14:paraId="0242C94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0BC07F6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r>
      <w:tr w14:paraId="1D78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79CD9B4">
            <w:pPr>
              <w:widowControl/>
              <w:spacing w:line="360" w:lineRule="auto"/>
              <w:jc w:val="center"/>
              <w:rPr>
                <w:rFonts w:ascii="宋体" w:hAnsi="宋体" w:cs="宋体"/>
                <w:color w:val="000000"/>
                <w:kern w:val="0"/>
                <w:szCs w:val="21"/>
              </w:rPr>
            </w:pPr>
          </w:p>
        </w:tc>
        <w:tc>
          <w:tcPr>
            <w:tcW w:w="2260" w:type="dxa"/>
            <w:tcBorders>
              <w:tl2br w:val="nil"/>
              <w:tr2bl w:val="nil"/>
            </w:tcBorders>
            <w:noWrap/>
            <w:vAlign w:val="center"/>
          </w:tcPr>
          <w:p w14:paraId="2D7E9D9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3C96E908">
            <w:pPr>
              <w:widowControl/>
              <w:spacing w:line="360" w:lineRule="auto"/>
              <w:rPr>
                <w:rFonts w:ascii="宋体" w:hAnsi="宋体" w:cs="宋体"/>
                <w:color w:val="000000"/>
                <w:kern w:val="0"/>
                <w:szCs w:val="21"/>
              </w:rPr>
            </w:pPr>
            <w:r>
              <w:rPr>
                <w:rFonts w:hint="eastAsia" w:ascii="宋体" w:hAnsi="宋体" w:cs="宋体"/>
                <w:color w:val="000000"/>
                <w:kern w:val="0"/>
                <w:szCs w:val="21"/>
              </w:rPr>
              <w:t>595*395*450</w:t>
            </w:r>
          </w:p>
        </w:tc>
        <w:tc>
          <w:tcPr>
            <w:tcW w:w="1040" w:type="dxa"/>
            <w:tcBorders>
              <w:tl2br w:val="nil"/>
              <w:tr2bl w:val="nil"/>
            </w:tcBorders>
            <w:noWrap/>
            <w:vAlign w:val="center"/>
          </w:tcPr>
          <w:p w14:paraId="5393FCB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7CAF94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60" w:type="dxa"/>
            <w:tcBorders>
              <w:tl2br w:val="nil"/>
              <w:tr2bl w:val="nil"/>
            </w:tcBorders>
            <w:noWrap/>
            <w:vAlign w:val="center"/>
          </w:tcPr>
          <w:p w14:paraId="5B2263B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30CBAEB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r>
      <w:tr w14:paraId="759C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72D6A4B3">
            <w:pPr>
              <w:widowControl/>
              <w:spacing w:line="360" w:lineRule="auto"/>
              <w:jc w:val="center"/>
              <w:rPr>
                <w:rFonts w:ascii="宋体" w:hAnsi="宋体" w:cs="宋体"/>
                <w:color w:val="000000"/>
                <w:kern w:val="0"/>
                <w:szCs w:val="21"/>
              </w:rPr>
            </w:pPr>
          </w:p>
        </w:tc>
        <w:tc>
          <w:tcPr>
            <w:tcW w:w="2260" w:type="dxa"/>
            <w:tcBorders>
              <w:tl2br w:val="nil"/>
              <w:tr2bl w:val="nil"/>
            </w:tcBorders>
            <w:noWrap/>
            <w:vAlign w:val="center"/>
          </w:tcPr>
          <w:p w14:paraId="226064A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回风过滤器</w:t>
            </w:r>
          </w:p>
        </w:tc>
        <w:tc>
          <w:tcPr>
            <w:tcW w:w="1540" w:type="dxa"/>
            <w:tcBorders>
              <w:tl2br w:val="nil"/>
              <w:tr2bl w:val="nil"/>
            </w:tcBorders>
            <w:noWrap/>
            <w:vAlign w:val="center"/>
          </w:tcPr>
          <w:p w14:paraId="0A8CF0D1">
            <w:pPr>
              <w:widowControl/>
              <w:spacing w:line="360" w:lineRule="auto"/>
              <w:rPr>
                <w:rFonts w:ascii="宋体" w:hAnsi="宋体" w:cs="宋体"/>
                <w:color w:val="000000"/>
                <w:kern w:val="0"/>
                <w:szCs w:val="21"/>
              </w:rPr>
            </w:pPr>
            <w:r>
              <w:rPr>
                <w:rFonts w:hint="eastAsia" w:ascii="宋体" w:hAnsi="宋体" w:cs="宋体"/>
                <w:color w:val="000000"/>
                <w:kern w:val="0"/>
                <w:szCs w:val="21"/>
              </w:rPr>
              <w:t>600*400*46</w:t>
            </w:r>
          </w:p>
        </w:tc>
        <w:tc>
          <w:tcPr>
            <w:tcW w:w="1040" w:type="dxa"/>
            <w:tcBorders>
              <w:tl2br w:val="nil"/>
              <w:tr2bl w:val="nil"/>
            </w:tcBorders>
            <w:noWrap/>
            <w:vAlign w:val="center"/>
          </w:tcPr>
          <w:p w14:paraId="7D3E067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0EB26DC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60" w:type="dxa"/>
            <w:tcBorders>
              <w:tl2br w:val="nil"/>
              <w:tr2bl w:val="nil"/>
            </w:tcBorders>
            <w:noWrap/>
            <w:vAlign w:val="center"/>
          </w:tcPr>
          <w:p w14:paraId="16C30BB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7A66191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r>
      <w:tr w14:paraId="1B63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22259F47">
            <w:pPr>
              <w:widowControl/>
              <w:spacing w:line="360" w:lineRule="auto"/>
              <w:jc w:val="center"/>
              <w:rPr>
                <w:rFonts w:ascii="宋体" w:hAnsi="宋体" w:cs="宋体"/>
                <w:color w:val="000000"/>
                <w:kern w:val="0"/>
                <w:szCs w:val="21"/>
              </w:rPr>
            </w:pPr>
          </w:p>
        </w:tc>
        <w:tc>
          <w:tcPr>
            <w:tcW w:w="2260" w:type="dxa"/>
            <w:tcBorders>
              <w:tl2br w:val="nil"/>
              <w:tr2bl w:val="nil"/>
            </w:tcBorders>
            <w:noWrap/>
            <w:vAlign w:val="center"/>
          </w:tcPr>
          <w:p w14:paraId="338FA8E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4238CBF1">
            <w:pPr>
              <w:widowControl/>
              <w:spacing w:line="360" w:lineRule="auto"/>
              <w:rPr>
                <w:rFonts w:ascii="宋体" w:hAnsi="宋体" w:cs="宋体"/>
                <w:color w:val="000000"/>
                <w:kern w:val="0"/>
                <w:szCs w:val="21"/>
              </w:rPr>
            </w:pPr>
            <w:r>
              <w:rPr>
                <w:rFonts w:hint="eastAsia" w:ascii="宋体" w:hAnsi="宋体" w:cs="宋体"/>
                <w:color w:val="000000"/>
                <w:kern w:val="0"/>
                <w:szCs w:val="21"/>
              </w:rPr>
              <w:t>300*300*46</w:t>
            </w:r>
          </w:p>
        </w:tc>
        <w:tc>
          <w:tcPr>
            <w:tcW w:w="1040" w:type="dxa"/>
            <w:tcBorders>
              <w:tl2br w:val="nil"/>
              <w:tr2bl w:val="nil"/>
            </w:tcBorders>
            <w:noWrap/>
            <w:vAlign w:val="center"/>
          </w:tcPr>
          <w:p w14:paraId="73EE010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61B8053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60" w:type="dxa"/>
            <w:tcBorders>
              <w:tl2br w:val="nil"/>
              <w:tr2bl w:val="nil"/>
            </w:tcBorders>
            <w:noWrap/>
            <w:vAlign w:val="center"/>
          </w:tcPr>
          <w:p w14:paraId="3D193BE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27DA009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r>
      <w:tr w14:paraId="0C76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30D267F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发热门诊</w:t>
            </w:r>
          </w:p>
        </w:tc>
        <w:tc>
          <w:tcPr>
            <w:tcW w:w="2260" w:type="dxa"/>
            <w:tcBorders>
              <w:tl2br w:val="nil"/>
              <w:tr2bl w:val="nil"/>
            </w:tcBorders>
            <w:noWrap/>
            <w:vAlign w:val="center"/>
          </w:tcPr>
          <w:p w14:paraId="75084431">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57E53BFF">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4982A19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96779C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69DAA2A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0650903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7E2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139C9BE4">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7F635BC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2D86CE40">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4EB4E57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BDD44D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4EA91CC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08757F1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6C33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5F4832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4F9EBCA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2046561C">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73087E2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32CE6A4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3BAC3DC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00" w:type="dxa"/>
            <w:tcBorders>
              <w:tl2br w:val="nil"/>
              <w:tr2bl w:val="nil"/>
            </w:tcBorders>
            <w:noWrap/>
            <w:vAlign w:val="center"/>
          </w:tcPr>
          <w:p w14:paraId="21797BC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7299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45BB5190">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456E5C6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1925B4F1">
            <w:pPr>
              <w:widowControl/>
              <w:spacing w:line="360" w:lineRule="auto"/>
              <w:rPr>
                <w:rFonts w:ascii="宋体" w:hAnsi="宋体" w:cs="宋体"/>
                <w:color w:val="000000"/>
                <w:kern w:val="0"/>
                <w:szCs w:val="21"/>
              </w:rPr>
            </w:pPr>
            <w:r>
              <w:rPr>
                <w:rFonts w:hint="eastAsia" w:ascii="宋体" w:hAnsi="宋体" w:cs="宋体"/>
                <w:color w:val="000000"/>
                <w:kern w:val="0"/>
                <w:szCs w:val="21"/>
              </w:rPr>
              <w:t>287*592*534</w:t>
            </w:r>
          </w:p>
        </w:tc>
        <w:tc>
          <w:tcPr>
            <w:tcW w:w="1040" w:type="dxa"/>
            <w:tcBorders>
              <w:tl2br w:val="nil"/>
              <w:tr2bl w:val="nil"/>
            </w:tcBorders>
            <w:noWrap/>
            <w:vAlign w:val="center"/>
          </w:tcPr>
          <w:p w14:paraId="10E5D79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0074684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578EA03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00" w:type="dxa"/>
            <w:tcBorders>
              <w:tl2br w:val="nil"/>
              <w:tr2bl w:val="nil"/>
            </w:tcBorders>
            <w:noWrap/>
            <w:vAlign w:val="center"/>
          </w:tcPr>
          <w:p w14:paraId="3C852F8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7F15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AA08DFE">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542C24E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5BB61064">
            <w:pPr>
              <w:widowControl/>
              <w:spacing w:line="360" w:lineRule="auto"/>
              <w:rPr>
                <w:rFonts w:ascii="宋体" w:hAnsi="宋体" w:cs="宋体"/>
                <w:color w:val="000000"/>
                <w:kern w:val="0"/>
                <w:szCs w:val="21"/>
              </w:rPr>
            </w:pPr>
            <w:r>
              <w:rPr>
                <w:rFonts w:hint="eastAsia" w:ascii="宋体" w:hAnsi="宋体" w:cs="宋体"/>
                <w:color w:val="000000"/>
                <w:kern w:val="0"/>
                <w:szCs w:val="21"/>
              </w:rPr>
              <w:t>300*400*50</w:t>
            </w:r>
          </w:p>
        </w:tc>
        <w:tc>
          <w:tcPr>
            <w:tcW w:w="1040" w:type="dxa"/>
            <w:tcBorders>
              <w:tl2br w:val="nil"/>
              <w:tr2bl w:val="nil"/>
            </w:tcBorders>
            <w:noWrap/>
            <w:vAlign w:val="center"/>
          </w:tcPr>
          <w:p w14:paraId="784662D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706B3D1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w:t>
            </w:r>
          </w:p>
        </w:tc>
        <w:tc>
          <w:tcPr>
            <w:tcW w:w="860" w:type="dxa"/>
            <w:tcBorders>
              <w:tl2br w:val="nil"/>
              <w:tr2bl w:val="nil"/>
            </w:tcBorders>
            <w:noWrap/>
            <w:vAlign w:val="center"/>
          </w:tcPr>
          <w:p w14:paraId="4B249DD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709FC39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w:t>
            </w:r>
          </w:p>
        </w:tc>
      </w:tr>
      <w:tr w14:paraId="3374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0F07B80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感染病房</w:t>
            </w:r>
          </w:p>
          <w:p w14:paraId="73774AE0">
            <w:pPr>
              <w:widowControl/>
              <w:spacing w:line="360" w:lineRule="auto"/>
              <w:jc w:val="center"/>
              <w:rPr>
                <w:rFonts w:ascii="宋体" w:hAnsi="宋体" w:cs="宋体"/>
                <w:color w:val="000000"/>
                <w:kern w:val="0"/>
                <w:szCs w:val="21"/>
              </w:rPr>
            </w:pPr>
          </w:p>
          <w:p w14:paraId="5E7BAB93">
            <w:pPr>
              <w:widowControl/>
              <w:spacing w:line="360" w:lineRule="auto"/>
              <w:jc w:val="center"/>
              <w:rPr>
                <w:rFonts w:ascii="宋体" w:hAnsi="宋体" w:cs="宋体"/>
                <w:color w:val="000000"/>
                <w:kern w:val="0"/>
                <w:szCs w:val="21"/>
              </w:rPr>
            </w:pPr>
          </w:p>
          <w:p w14:paraId="76DACB19">
            <w:pPr>
              <w:widowControl/>
              <w:spacing w:line="360" w:lineRule="auto"/>
              <w:jc w:val="center"/>
              <w:rPr>
                <w:rFonts w:ascii="宋体" w:hAnsi="宋体" w:cs="宋体"/>
                <w:color w:val="000000"/>
                <w:kern w:val="0"/>
                <w:szCs w:val="21"/>
              </w:rPr>
            </w:pPr>
          </w:p>
          <w:p w14:paraId="6AF9658E">
            <w:pPr>
              <w:widowControl/>
              <w:spacing w:line="360" w:lineRule="auto"/>
              <w:jc w:val="center"/>
              <w:rPr>
                <w:rFonts w:ascii="宋体" w:hAnsi="宋体" w:cs="宋体"/>
                <w:color w:val="000000"/>
                <w:kern w:val="0"/>
                <w:szCs w:val="21"/>
              </w:rPr>
            </w:pPr>
          </w:p>
        </w:tc>
        <w:tc>
          <w:tcPr>
            <w:tcW w:w="2260" w:type="dxa"/>
            <w:tcBorders>
              <w:tl2br w:val="nil"/>
              <w:tr2bl w:val="nil"/>
            </w:tcBorders>
            <w:noWrap/>
            <w:vAlign w:val="center"/>
          </w:tcPr>
          <w:p w14:paraId="74B72CD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3CFE38D4">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0983191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4B505E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0905A9F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220EC63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5E82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6F60C89">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1117D4A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3A0C89A6">
            <w:pPr>
              <w:widowControl/>
              <w:spacing w:line="360" w:lineRule="auto"/>
              <w:rPr>
                <w:rFonts w:ascii="宋体" w:hAnsi="宋体" w:cs="宋体"/>
                <w:color w:val="000000"/>
                <w:kern w:val="0"/>
                <w:szCs w:val="21"/>
              </w:rPr>
            </w:pPr>
            <w:r>
              <w:rPr>
                <w:rFonts w:hint="eastAsia" w:ascii="宋体" w:hAnsi="宋体" w:cs="宋体"/>
                <w:color w:val="000000"/>
                <w:kern w:val="0"/>
                <w:szCs w:val="21"/>
              </w:rPr>
              <w:t>287*592*46</w:t>
            </w:r>
          </w:p>
        </w:tc>
        <w:tc>
          <w:tcPr>
            <w:tcW w:w="1040" w:type="dxa"/>
            <w:tcBorders>
              <w:tl2br w:val="nil"/>
              <w:tr2bl w:val="nil"/>
            </w:tcBorders>
            <w:noWrap/>
            <w:vAlign w:val="center"/>
          </w:tcPr>
          <w:p w14:paraId="298B4DF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DC3C60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4B38836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900" w:type="dxa"/>
            <w:tcBorders>
              <w:tl2br w:val="nil"/>
              <w:tr2bl w:val="nil"/>
            </w:tcBorders>
            <w:noWrap/>
            <w:vAlign w:val="center"/>
          </w:tcPr>
          <w:p w14:paraId="6D94567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713F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D1CE942">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A3DD5E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7FB7D23E">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5DBC756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675A97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7A071B3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00" w:type="dxa"/>
            <w:tcBorders>
              <w:tl2br w:val="nil"/>
              <w:tr2bl w:val="nil"/>
            </w:tcBorders>
            <w:noWrap/>
            <w:vAlign w:val="center"/>
          </w:tcPr>
          <w:p w14:paraId="621768C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5746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7E16C60F">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77C3BB3">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30F50D83">
            <w:pPr>
              <w:widowControl/>
              <w:spacing w:line="360" w:lineRule="auto"/>
              <w:rPr>
                <w:rFonts w:ascii="宋体" w:hAnsi="宋体" w:cs="宋体"/>
                <w:color w:val="000000"/>
                <w:kern w:val="0"/>
                <w:szCs w:val="21"/>
              </w:rPr>
            </w:pPr>
            <w:r>
              <w:rPr>
                <w:rFonts w:hint="eastAsia" w:ascii="宋体" w:hAnsi="宋体" w:cs="宋体"/>
                <w:color w:val="000000"/>
                <w:kern w:val="0"/>
                <w:szCs w:val="21"/>
              </w:rPr>
              <w:t>287*592*534</w:t>
            </w:r>
          </w:p>
        </w:tc>
        <w:tc>
          <w:tcPr>
            <w:tcW w:w="1040" w:type="dxa"/>
            <w:tcBorders>
              <w:tl2br w:val="nil"/>
              <w:tr2bl w:val="nil"/>
            </w:tcBorders>
            <w:noWrap/>
            <w:vAlign w:val="center"/>
          </w:tcPr>
          <w:p w14:paraId="725B10F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1B9071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60" w:type="dxa"/>
            <w:tcBorders>
              <w:tl2br w:val="nil"/>
              <w:tr2bl w:val="nil"/>
            </w:tcBorders>
            <w:noWrap/>
            <w:vAlign w:val="center"/>
          </w:tcPr>
          <w:p w14:paraId="063DE00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00" w:type="dxa"/>
            <w:tcBorders>
              <w:tl2br w:val="nil"/>
              <w:tr2bl w:val="nil"/>
            </w:tcBorders>
            <w:noWrap/>
            <w:vAlign w:val="center"/>
          </w:tcPr>
          <w:p w14:paraId="4C2BECF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421D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3E242CC3">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3E705B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242187F1">
            <w:pPr>
              <w:widowControl/>
              <w:spacing w:line="360" w:lineRule="auto"/>
              <w:rPr>
                <w:rFonts w:ascii="宋体" w:hAnsi="宋体" w:cs="宋体"/>
                <w:color w:val="000000"/>
                <w:kern w:val="0"/>
                <w:szCs w:val="21"/>
              </w:rPr>
            </w:pPr>
            <w:r>
              <w:rPr>
                <w:rFonts w:hint="eastAsia" w:ascii="宋体" w:hAnsi="宋体" w:cs="宋体"/>
                <w:color w:val="000000"/>
                <w:kern w:val="0"/>
                <w:szCs w:val="21"/>
              </w:rPr>
              <w:t>600*400*50</w:t>
            </w:r>
          </w:p>
        </w:tc>
        <w:tc>
          <w:tcPr>
            <w:tcW w:w="1040" w:type="dxa"/>
            <w:tcBorders>
              <w:tl2br w:val="nil"/>
              <w:tr2bl w:val="nil"/>
            </w:tcBorders>
            <w:noWrap/>
            <w:vAlign w:val="center"/>
          </w:tcPr>
          <w:p w14:paraId="0F5BABD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1035D60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c>
          <w:tcPr>
            <w:tcW w:w="860" w:type="dxa"/>
            <w:tcBorders>
              <w:tl2br w:val="nil"/>
              <w:tr2bl w:val="nil"/>
            </w:tcBorders>
            <w:noWrap/>
            <w:vAlign w:val="center"/>
          </w:tcPr>
          <w:p w14:paraId="07BE716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40D036B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96</w:t>
            </w:r>
          </w:p>
        </w:tc>
      </w:tr>
      <w:tr w14:paraId="7CD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restart"/>
            <w:tcBorders>
              <w:tl2br w:val="nil"/>
              <w:tr2bl w:val="nil"/>
            </w:tcBorders>
            <w:noWrap/>
            <w:vAlign w:val="center"/>
          </w:tcPr>
          <w:p w14:paraId="7FBF6FB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日间手术室</w:t>
            </w:r>
          </w:p>
        </w:tc>
        <w:tc>
          <w:tcPr>
            <w:tcW w:w="2260" w:type="dxa"/>
            <w:tcBorders>
              <w:tl2br w:val="nil"/>
              <w:tr2bl w:val="nil"/>
            </w:tcBorders>
            <w:noWrap/>
            <w:vAlign w:val="center"/>
          </w:tcPr>
          <w:p w14:paraId="7A3DDE5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65091CF3">
            <w:pPr>
              <w:widowControl/>
              <w:spacing w:line="360" w:lineRule="auto"/>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l2br w:val="nil"/>
              <w:tr2bl w:val="nil"/>
            </w:tcBorders>
            <w:noWrap/>
            <w:vAlign w:val="center"/>
          </w:tcPr>
          <w:p w14:paraId="5C77FE9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49F1AE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54AFCA4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32D4442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r>
      <w:tr w14:paraId="7AAD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70E6DAD2">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3F8B1C4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l2br w:val="nil"/>
              <w:tr2bl w:val="nil"/>
            </w:tcBorders>
            <w:noWrap/>
            <w:vAlign w:val="center"/>
          </w:tcPr>
          <w:p w14:paraId="05667950">
            <w:pPr>
              <w:widowControl/>
              <w:spacing w:line="360" w:lineRule="auto"/>
              <w:rPr>
                <w:rFonts w:ascii="宋体" w:hAnsi="宋体" w:cs="宋体"/>
                <w:color w:val="000000"/>
                <w:kern w:val="0"/>
                <w:szCs w:val="21"/>
              </w:rPr>
            </w:pPr>
            <w:r>
              <w:rPr>
                <w:rFonts w:hint="eastAsia" w:ascii="宋体" w:hAnsi="宋体" w:cs="宋体"/>
                <w:color w:val="000000"/>
                <w:kern w:val="0"/>
                <w:szCs w:val="21"/>
              </w:rPr>
              <w:t>592*287*46</w:t>
            </w:r>
          </w:p>
        </w:tc>
        <w:tc>
          <w:tcPr>
            <w:tcW w:w="1040" w:type="dxa"/>
            <w:tcBorders>
              <w:tl2br w:val="nil"/>
              <w:tr2bl w:val="nil"/>
            </w:tcBorders>
            <w:noWrap/>
            <w:vAlign w:val="center"/>
          </w:tcPr>
          <w:p w14:paraId="50A1E7B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5386EC8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860" w:type="dxa"/>
            <w:tcBorders>
              <w:tl2br w:val="nil"/>
              <w:tr2bl w:val="nil"/>
            </w:tcBorders>
            <w:noWrap/>
            <w:vAlign w:val="center"/>
          </w:tcPr>
          <w:p w14:paraId="2E7EE1F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l2br w:val="nil"/>
              <w:tr2bl w:val="nil"/>
            </w:tcBorders>
            <w:noWrap/>
            <w:vAlign w:val="center"/>
          </w:tcPr>
          <w:p w14:paraId="0B7E3FA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28</w:t>
            </w:r>
          </w:p>
        </w:tc>
      </w:tr>
      <w:tr w14:paraId="7298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5BDFB4C1">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1D64084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18BE665F">
            <w:pPr>
              <w:widowControl/>
              <w:spacing w:line="360" w:lineRule="auto"/>
              <w:rPr>
                <w:rFonts w:ascii="宋体" w:hAnsi="宋体" w:cs="宋体"/>
                <w:color w:val="000000"/>
                <w:kern w:val="0"/>
                <w:szCs w:val="21"/>
              </w:rPr>
            </w:pPr>
            <w:r>
              <w:rPr>
                <w:rFonts w:hint="eastAsia" w:ascii="宋体" w:hAnsi="宋体" w:cs="宋体"/>
                <w:color w:val="000000"/>
                <w:kern w:val="0"/>
                <w:szCs w:val="21"/>
              </w:rPr>
              <w:t>592*592*534</w:t>
            </w:r>
          </w:p>
        </w:tc>
        <w:tc>
          <w:tcPr>
            <w:tcW w:w="1040" w:type="dxa"/>
            <w:tcBorders>
              <w:tl2br w:val="nil"/>
              <w:tr2bl w:val="nil"/>
            </w:tcBorders>
            <w:noWrap/>
            <w:vAlign w:val="center"/>
          </w:tcPr>
          <w:p w14:paraId="5272D9A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49F9742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60" w:type="dxa"/>
            <w:tcBorders>
              <w:tl2br w:val="nil"/>
              <w:tr2bl w:val="nil"/>
            </w:tcBorders>
            <w:noWrap/>
            <w:vAlign w:val="center"/>
          </w:tcPr>
          <w:p w14:paraId="6F80AA1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7C7DF5A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r>
      <w:tr w14:paraId="236A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17127892">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4BC7EAC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l2br w:val="nil"/>
              <w:tr2bl w:val="nil"/>
            </w:tcBorders>
            <w:noWrap/>
            <w:vAlign w:val="center"/>
          </w:tcPr>
          <w:p w14:paraId="79B09B12">
            <w:pPr>
              <w:widowControl/>
              <w:spacing w:line="360" w:lineRule="auto"/>
              <w:rPr>
                <w:rFonts w:ascii="宋体" w:hAnsi="宋体" w:cs="宋体"/>
                <w:color w:val="000000"/>
                <w:kern w:val="0"/>
                <w:szCs w:val="21"/>
              </w:rPr>
            </w:pPr>
            <w:r>
              <w:rPr>
                <w:rFonts w:hint="eastAsia" w:ascii="宋体" w:hAnsi="宋体" w:cs="宋体"/>
                <w:color w:val="000000"/>
                <w:kern w:val="0"/>
                <w:szCs w:val="21"/>
              </w:rPr>
              <w:t>592*287*534</w:t>
            </w:r>
          </w:p>
        </w:tc>
        <w:tc>
          <w:tcPr>
            <w:tcW w:w="1040" w:type="dxa"/>
            <w:tcBorders>
              <w:tl2br w:val="nil"/>
              <w:tr2bl w:val="nil"/>
            </w:tcBorders>
            <w:noWrap/>
            <w:vAlign w:val="center"/>
          </w:tcPr>
          <w:p w14:paraId="63BD065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6D7D38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860" w:type="dxa"/>
            <w:tcBorders>
              <w:tl2br w:val="nil"/>
              <w:tr2bl w:val="nil"/>
            </w:tcBorders>
            <w:noWrap/>
            <w:vAlign w:val="center"/>
          </w:tcPr>
          <w:p w14:paraId="43D492E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0F44104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w:t>
            </w:r>
          </w:p>
        </w:tc>
      </w:tr>
      <w:tr w14:paraId="5C6D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60" w:type="dxa"/>
            <w:vMerge w:val="continue"/>
            <w:tcBorders>
              <w:tl2br w:val="nil"/>
              <w:tr2bl w:val="nil"/>
            </w:tcBorders>
            <w:noWrap/>
            <w:vAlign w:val="center"/>
          </w:tcPr>
          <w:p w14:paraId="606E2395">
            <w:pPr>
              <w:widowControl/>
              <w:spacing w:line="360" w:lineRule="auto"/>
              <w:jc w:val="left"/>
              <w:rPr>
                <w:rFonts w:ascii="宋体" w:hAnsi="宋体" w:cs="宋体"/>
                <w:color w:val="000000"/>
                <w:kern w:val="0"/>
                <w:szCs w:val="21"/>
              </w:rPr>
            </w:pPr>
          </w:p>
        </w:tc>
        <w:tc>
          <w:tcPr>
            <w:tcW w:w="2260" w:type="dxa"/>
            <w:tcBorders>
              <w:tl2br w:val="nil"/>
              <w:tr2bl w:val="nil"/>
            </w:tcBorders>
            <w:noWrap/>
            <w:vAlign w:val="center"/>
          </w:tcPr>
          <w:p w14:paraId="6DD360F8">
            <w:pPr>
              <w:widowControl/>
              <w:spacing w:line="360" w:lineRule="auto"/>
              <w:rPr>
                <w:rFonts w:ascii="宋体" w:hAnsi="宋体" w:cs="宋体"/>
                <w:color w:val="000000"/>
                <w:kern w:val="0"/>
                <w:szCs w:val="21"/>
              </w:rPr>
            </w:pPr>
            <w:r>
              <w:rPr>
                <w:rFonts w:hint="eastAsia" w:ascii="宋体" w:hAnsi="宋体" w:cs="宋体"/>
                <w:color w:val="000000"/>
                <w:kern w:val="0"/>
                <w:szCs w:val="21"/>
              </w:rPr>
              <w:t>排风过滤器</w:t>
            </w:r>
          </w:p>
        </w:tc>
        <w:tc>
          <w:tcPr>
            <w:tcW w:w="1540" w:type="dxa"/>
            <w:tcBorders>
              <w:tl2br w:val="nil"/>
              <w:tr2bl w:val="nil"/>
            </w:tcBorders>
            <w:noWrap/>
            <w:vAlign w:val="center"/>
          </w:tcPr>
          <w:p w14:paraId="7532CB59">
            <w:pPr>
              <w:widowControl/>
              <w:spacing w:line="360" w:lineRule="auto"/>
              <w:rPr>
                <w:rFonts w:ascii="宋体" w:hAnsi="宋体" w:cs="宋体"/>
                <w:color w:val="000000"/>
                <w:kern w:val="0"/>
                <w:szCs w:val="21"/>
              </w:rPr>
            </w:pPr>
            <w:r>
              <w:rPr>
                <w:rFonts w:hint="eastAsia" w:ascii="宋体" w:hAnsi="宋体" w:cs="宋体"/>
                <w:color w:val="000000"/>
                <w:kern w:val="0"/>
                <w:szCs w:val="21"/>
              </w:rPr>
              <w:t>300*300*46</w:t>
            </w:r>
          </w:p>
        </w:tc>
        <w:tc>
          <w:tcPr>
            <w:tcW w:w="1040" w:type="dxa"/>
            <w:tcBorders>
              <w:tl2br w:val="nil"/>
              <w:tr2bl w:val="nil"/>
            </w:tcBorders>
            <w:noWrap/>
            <w:vAlign w:val="center"/>
          </w:tcPr>
          <w:p w14:paraId="2B05119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l2br w:val="nil"/>
              <w:tr2bl w:val="nil"/>
            </w:tcBorders>
            <w:noWrap/>
            <w:vAlign w:val="center"/>
          </w:tcPr>
          <w:p w14:paraId="2E9AB37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28</w:t>
            </w:r>
          </w:p>
        </w:tc>
        <w:tc>
          <w:tcPr>
            <w:tcW w:w="860" w:type="dxa"/>
            <w:tcBorders>
              <w:tl2br w:val="nil"/>
              <w:tr2bl w:val="nil"/>
            </w:tcBorders>
            <w:noWrap/>
            <w:vAlign w:val="center"/>
          </w:tcPr>
          <w:p w14:paraId="18D990C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l2br w:val="nil"/>
              <w:tr2bl w:val="nil"/>
            </w:tcBorders>
            <w:noWrap/>
            <w:vAlign w:val="center"/>
          </w:tcPr>
          <w:p w14:paraId="5BA42CB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56</w:t>
            </w:r>
          </w:p>
        </w:tc>
      </w:tr>
      <w:tr w14:paraId="18FC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20" w:type="dxa"/>
            <w:gridSpan w:val="7"/>
            <w:tcBorders>
              <w:tl2br w:val="nil"/>
              <w:tr2bl w:val="nil"/>
            </w:tcBorders>
            <w:noWrap/>
            <w:vAlign w:val="center"/>
          </w:tcPr>
          <w:p w14:paraId="594282BC">
            <w:pPr>
              <w:widowControl/>
              <w:spacing w:line="360" w:lineRule="auto"/>
              <w:jc w:val="both"/>
              <w:rPr>
                <w:rFonts w:ascii="宋体" w:hAnsi="宋体" w:cs="宋体"/>
                <w:color w:val="000000"/>
                <w:kern w:val="0"/>
                <w:szCs w:val="21"/>
              </w:rPr>
            </w:pPr>
            <w:r>
              <w:rPr>
                <w:rFonts w:hint="eastAsia" w:ascii="宋体" w:hAnsi="宋体" w:cs="宋体"/>
                <w:color w:val="000000"/>
                <w:kern w:val="0"/>
                <w:szCs w:val="21"/>
              </w:rPr>
              <w:t>合计（一年更换数量）：                                                   2937</w:t>
            </w:r>
          </w:p>
        </w:tc>
      </w:tr>
    </w:tbl>
    <w:p w14:paraId="59AB23B5">
      <w:pPr>
        <w:pStyle w:val="4"/>
        <w:spacing w:before="0" w:after="0"/>
        <w:ind w:firstLine="422" w:firstLineChars="200"/>
        <w:jc w:val="left"/>
        <w:rPr>
          <w:rFonts w:ascii="宋体" w:hAnsi="宋体" w:eastAsia="宋体" w:cs="宋体"/>
          <w:b/>
          <w:bCs/>
          <w:kern w:val="2"/>
          <w:szCs w:val="21"/>
        </w:rPr>
      </w:pPr>
      <w:r>
        <w:rPr>
          <w:rFonts w:hint="eastAsia" w:ascii="宋体" w:hAnsi="宋体" w:eastAsia="宋体" w:cs="宋体"/>
          <w:b/>
          <w:bCs/>
          <w:kern w:val="2"/>
          <w:szCs w:val="21"/>
        </w:rPr>
        <w:t>5、检验科实验室定期更换过滤器明细表</w:t>
      </w:r>
      <w:r>
        <w:rPr>
          <w:rFonts w:hint="eastAsia" w:ascii="宋体" w:hAnsi="宋体" w:eastAsia="宋体" w:cs="宋体"/>
          <w:b/>
          <w:bCs/>
          <w:color w:val="FF0000"/>
          <w:kern w:val="2"/>
          <w:szCs w:val="21"/>
          <w:lang w:eastAsia="zh-CN"/>
        </w:rPr>
        <w:t>（</w:t>
      </w:r>
      <w:r>
        <w:rPr>
          <w:rFonts w:hint="eastAsia" w:ascii="宋体" w:hAnsi="宋体" w:eastAsia="宋体" w:cs="宋体"/>
          <w:b/>
          <w:bCs/>
          <w:color w:val="FF0000"/>
          <w:kern w:val="2"/>
          <w:szCs w:val="21"/>
          <w:lang w:val="en-US" w:eastAsia="zh-CN"/>
        </w:rPr>
        <w:t>此项不纳入“采购需求响应情况”评审</w:t>
      </w:r>
      <w:r>
        <w:rPr>
          <w:rFonts w:hint="eastAsia" w:ascii="宋体" w:hAnsi="宋体" w:eastAsia="宋体" w:cs="宋体"/>
          <w:b/>
          <w:bCs/>
          <w:color w:val="FF0000"/>
          <w:kern w:val="2"/>
          <w:szCs w:val="21"/>
          <w:lang w:eastAsia="zh-CN"/>
        </w:rPr>
        <w:t>）</w:t>
      </w:r>
      <w:r>
        <w:rPr>
          <w:rFonts w:hint="eastAsia" w:ascii="宋体" w:hAnsi="宋体" w:eastAsia="宋体" w:cs="宋体"/>
          <w:b/>
          <w:bCs/>
          <w:kern w:val="2"/>
          <w:szCs w:val="21"/>
        </w:rPr>
        <w:t>:</w:t>
      </w:r>
    </w:p>
    <w:tbl>
      <w:tblPr>
        <w:tblStyle w:val="42"/>
        <w:tblW w:w="8920" w:type="dxa"/>
        <w:jc w:val="center"/>
        <w:tblLayout w:type="fixed"/>
        <w:tblCellMar>
          <w:top w:w="0" w:type="dxa"/>
          <w:left w:w="108" w:type="dxa"/>
          <w:bottom w:w="0" w:type="dxa"/>
          <w:right w:w="108" w:type="dxa"/>
        </w:tblCellMar>
      </w:tblPr>
      <w:tblGrid>
        <w:gridCol w:w="1261"/>
        <w:gridCol w:w="2259"/>
        <w:gridCol w:w="1540"/>
        <w:gridCol w:w="1040"/>
        <w:gridCol w:w="1060"/>
        <w:gridCol w:w="860"/>
        <w:gridCol w:w="900"/>
      </w:tblGrid>
      <w:tr w14:paraId="1A978C97">
        <w:tblPrEx>
          <w:tblCellMar>
            <w:top w:w="0" w:type="dxa"/>
            <w:left w:w="108" w:type="dxa"/>
            <w:bottom w:w="0" w:type="dxa"/>
            <w:right w:w="108" w:type="dxa"/>
          </w:tblCellMar>
        </w:tblPrEx>
        <w:trPr>
          <w:trHeight w:val="540" w:hRule="atLeast"/>
          <w:jc w:val="center"/>
        </w:trPr>
        <w:tc>
          <w:tcPr>
            <w:tcW w:w="1261" w:type="dxa"/>
            <w:tcBorders>
              <w:top w:val="single" w:color="auto" w:sz="4" w:space="0"/>
              <w:left w:val="single" w:color="auto" w:sz="4" w:space="0"/>
              <w:bottom w:val="single" w:color="auto" w:sz="4" w:space="0"/>
              <w:right w:val="single" w:color="auto" w:sz="4" w:space="0"/>
            </w:tcBorders>
            <w:noWrap/>
            <w:vAlign w:val="center"/>
          </w:tcPr>
          <w:p w14:paraId="3ADDC10E">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科室</w:t>
            </w:r>
          </w:p>
        </w:tc>
        <w:tc>
          <w:tcPr>
            <w:tcW w:w="2259" w:type="dxa"/>
            <w:tcBorders>
              <w:top w:val="single" w:color="auto" w:sz="4" w:space="0"/>
              <w:left w:val="nil"/>
              <w:bottom w:val="single" w:color="auto" w:sz="4" w:space="0"/>
              <w:right w:val="single" w:color="auto" w:sz="4" w:space="0"/>
            </w:tcBorders>
            <w:noWrap/>
            <w:vAlign w:val="center"/>
          </w:tcPr>
          <w:p w14:paraId="08A1C5CE">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1540" w:type="dxa"/>
            <w:tcBorders>
              <w:top w:val="single" w:color="auto" w:sz="4" w:space="0"/>
              <w:left w:val="nil"/>
              <w:bottom w:val="single" w:color="auto" w:sz="4" w:space="0"/>
              <w:right w:val="single" w:color="auto" w:sz="4" w:space="0"/>
            </w:tcBorders>
            <w:noWrap/>
            <w:vAlign w:val="center"/>
          </w:tcPr>
          <w:p w14:paraId="79BBC3DF">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规格型</w:t>
            </w:r>
            <w:r>
              <w:rPr>
                <w:rFonts w:hint="eastAsia" w:ascii="宋体" w:hAnsi="宋体" w:cs="宋体"/>
                <w:b/>
                <w:bCs/>
                <w:color w:val="auto"/>
                <w:kern w:val="0"/>
                <w:szCs w:val="21"/>
              </w:rPr>
              <w:t>号（</w:t>
            </w:r>
            <w:r>
              <w:rPr>
                <w:rFonts w:ascii="宋体" w:hAnsi="宋体" w:cs="宋体"/>
                <w:b/>
                <w:bCs/>
                <w:color w:val="auto"/>
                <w:kern w:val="0"/>
                <w:szCs w:val="21"/>
              </w:rPr>
              <w:t>mm</w:t>
            </w:r>
            <w:r>
              <w:rPr>
                <w:rFonts w:hint="eastAsia" w:ascii="宋体" w:hAnsi="宋体" w:cs="宋体"/>
                <w:b/>
                <w:bCs/>
                <w:color w:val="auto"/>
                <w:kern w:val="0"/>
                <w:szCs w:val="21"/>
              </w:rPr>
              <w:t>）</w:t>
            </w:r>
          </w:p>
        </w:tc>
        <w:tc>
          <w:tcPr>
            <w:tcW w:w="1040" w:type="dxa"/>
            <w:tcBorders>
              <w:top w:val="single" w:color="auto" w:sz="4" w:space="0"/>
              <w:left w:val="nil"/>
              <w:bottom w:val="single" w:color="auto" w:sz="4" w:space="0"/>
              <w:right w:val="single" w:color="auto" w:sz="4" w:space="0"/>
            </w:tcBorders>
            <w:noWrap/>
            <w:vAlign w:val="center"/>
          </w:tcPr>
          <w:p w14:paraId="63D1A0F9">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060" w:type="dxa"/>
            <w:tcBorders>
              <w:top w:val="single" w:color="auto" w:sz="4" w:space="0"/>
              <w:left w:val="nil"/>
              <w:bottom w:val="single" w:color="auto" w:sz="4" w:space="0"/>
              <w:right w:val="single" w:color="auto" w:sz="4" w:space="0"/>
            </w:tcBorders>
            <w:noWrap/>
            <w:vAlign w:val="center"/>
          </w:tcPr>
          <w:p w14:paraId="3574FD65">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860" w:type="dxa"/>
            <w:tcBorders>
              <w:top w:val="single" w:color="auto" w:sz="4" w:space="0"/>
              <w:left w:val="nil"/>
              <w:bottom w:val="single" w:color="auto" w:sz="4" w:space="0"/>
              <w:right w:val="single" w:color="auto" w:sz="4" w:space="0"/>
            </w:tcBorders>
            <w:noWrap/>
            <w:vAlign w:val="center"/>
          </w:tcPr>
          <w:p w14:paraId="604C6A31">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一年更换次数</w:t>
            </w:r>
          </w:p>
        </w:tc>
        <w:tc>
          <w:tcPr>
            <w:tcW w:w="900" w:type="dxa"/>
            <w:tcBorders>
              <w:top w:val="single" w:color="auto" w:sz="4" w:space="0"/>
              <w:left w:val="nil"/>
              <w:bottom w:val="single" w:color="auto" w:sz="4" w:space="0"/>
              <w:right w:val="single" w:color="auto" w:sz="4" w:space="0"/>
            </w:tcBorders>
            <w:noWrap/>
            <w:vAlign w:val="center"/>
          </w:tcPr>
          <w:p w14:paraId="16E7E5B4">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一年更换数量</w:t>
            </w:r>
          </w:p>
        </w:tc>
      </w:tr>
      <w:tr w14:paraId="23FB17AF">
        <w:tblPrEx>
          <w:tblCellMar>
            <w:top w:w="0" w:type="dxa"/>
            <w:left w:w="108" w:type="dxa"/>
            <w:bottom w:w="0" w:type="dxa"/>
            <w:right w:w="108" w:type="dxa"/>
          </w:tblCellMar>
        </w:tblPrEx>
        <w:trPr>
          <w:trHeight w:val="270" w:hRule="atLeast"/>
          <w:jc w:val="center"/>
        </w:trPr>
        <w:tc>
          <w:tcPr>
            <w:tcW w:w="1261" w:type="dxa"/>
            <w:vMerge w:val="restart"/>
            <w:tcBorders>
              <w:top w:val="nil"/>
              <w:left w:val="single" w:color="auto" w:sz="4" w:space="0"/>
              <w:right w:val="single" w:color="auto" w:sz="4" w:space="0"/>
            </w:tcBorders>
            <w:noWrap/>
            <w:vAlign w:val="center"/>
          </w:tcPr>
          <w:p w14:paraId="5F19C56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检验科，药剂科实验室</w:t>
            </w:r>
          </w:p>
        </w:tc>
        <w:tc>
          <w:tcPr>
            <w:tcW w:w="2259" w:type="dxa"/>
            <w:tcBorders>
              <w:top w:val="nil"/>
              <w:left w:val="nil"/>
              <w:bottom w:val="single" w:color="auto" w:sz="4" w:space="0"/>
              <w:right w:val="single" w:color="auto" w:sz="4" w:space="0"/>
            </w:tcBorders>
            <w:noWrap/>
            <w:vAlign w:val="center"/>
          </w:tcPr>
          <w:p w14:paraId="72C6D6A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op w:val="nil"/>
              <w:left w:val="nil"/>
              <w:bottom w:val="single" w:color="auto" w:sz="4" w:space="0"/>
              <w:right w:val="single" w:color="auto" w:sz="4" w:space="0"/>
            </w:tcBorders>
            <w:noWrap/>
            <w:vAlign w:val="center"/>
          </w:tcPr>
          <w:p w14:paraId="7FAB987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592*592*46</w:t>
            </w:r>
          </w:p>
        </w:tc>
        <w:tc>
          <w:tcPr>
            <w:tcW w:w="1040" w:type="dxa"/>
            <w:tcBorders>
              <w:top w:val="nil"/>
              <w:left w:val="nil"/>
              <w:bottom w:val="single" w:color="auto" w:sz="4" w:space="0"/>
              <w:right w:val="single" w:color="auto" w:sz="4" w:space="0"/>
            </w:tcBorders>
            <w:noWrap/>
            <w:vAlign w:val="center"/>
          </w:tcPr>
          <w:p w14:paraId="358BAED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op w:val="nil"/>
              <w:left w:val="nil"/>
              <w:bottom w:val="single" w:color="auto" w:sz="4" w:space="0"/>
              <w:right w:val="single" w:color="auto" w:sz="4" w:space="0"/>
            </w:tcBorders>
            <w:noWrap/>
            <w:vAlign w:val="center"/>
          </w:tcPr>
          <w:p w14:paraId="6F68EDC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60" w:type="dxa"/>
            <w:tcBorders>
              <w:top w:val="nil"/>
              <w:left w:val="nil"/>
              <w:bottom w:val="single" w:color="auto" w:sz="4" w:space="0"/>
              <w:right w:val="single" w:color="auto" w:sz="4" w:space="0"/>
            </w:tcBorders>
            <w:noWrap/>
            <w:vAlign w:val="center"/>
          </w:tcPr>
          <w:p w14:paraId="5AE9CE1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op w:val="nil"/>
              <w:left w:val="nil"/>
              <w:bottom w:val="single" w:color="auto" w:sz="4" w:space="0"/>
              <w:right w:val="single" w:color="auto" w:sz="4" w:space="0"/>
            </w:tcBorders>
            <w:noWrap/>
            <w:vAlign w:val="center"/>
          </w:tcPr>
          <w:p w14:paraId="1EE5788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r>
      <w:tr w14:paraId="678C70B8">
        <w:tblPrEx>
          <w:tblCellMar>
            <w:top w:w="0" w:type="dxa"/>
            <w:left w:w="108" w:type="dxa"/>
            <w:bottom w:w="0" w:type="dxa"/>
            <w:right w:w="108" w:type="dxa"/>
          </w:tblCellMar>
        </w:tblPrEx>
        <w:trPr>
          <w:trHeight w:val="270" w:hRule="atLeast"/>
          <w:jc w:val="center"/>
        </w:trPr>
        <w:tc>
          <w:tcPr>
            <w:tcW w:w="1261" w:type="dxa"/>
            <w:vMerge w:val="continue"/>
            <w:tcBorders>
              <w:left w:val="single" w:color="auto" w:sz="4" w:space="0"/>
              <w:right w:val="single" w:color="auto" w:sz="4" w:space="0"/>
            </w:tcBorders>
            <w:noWrap/>
            <w:vAlign w:val="center"/>
          </w:tcPr>
          <w:p w14:paraId="3971C792">
            <w:pPr>
              <w:widowControl/>
              <w:spacing w:line="360" w:lineRule="auto"/>
              <w:jc w:val="left"/>
              <w:rPr>
                <w:rFonts w:ascii="宋体" w:hAnsi="宋体" w:cs="宋体"/>
                <w:color w:val="000000"/>
                <w:kern w:val="0"/>
                <w:szCs w:val="21"/>
              </w:rPr>
            </w:pPr>
          </w:p>
        </w:tc>
        <w:tc>
          <w:tcPr>
            <w:tcW w:w="2259" w:type="dxa"/>
            <w:tcBorders>
              <w:top w:val="nil"/>
              <w:left w:val="nil"/>
              <w:bottom w:val="single" w:color="auto" w:sz="4" w:space="0"/>
              <w:right w:val="single" w:color="auto" w:sz="4" w:space="0"/>
            </w:tcBorders>
            <w:noWrap/>
            <w:vAlign w:val="center"/>
          </w:tcPr>
          <w:p w14:paraId="5E1F230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初效过滤器</w:t>
            </w:r>
          </w:p>
        </w:tc>
        <w:tc>
          <w:tcPr>
            <w:tcW w:w="1540" w:type="dxa"/>
            <w:tcBorders>
              <w:top w:val="nil"/>
              <w:left w:val="nil"/>
              <w:bottom w:val="single" w:color="auto" w:sz="4" w:space="0"/>
              <w:right w:val="single" w:color="auto" w:sz="4" w:space="0"/>
            </w:tcBorders>
            <w:noWrap/>
            <w:vAlign w:val="center"/>
          </w:tcPr>
          <w:p w14:paraId="14998B6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592*287*46</w:t>
            </w:r>
          </w:p>
        </w:tc>
        <w:tc>
          <w:tcPr>
            <w:tcW w:w="1040" w:type="dxa"/>
            <w:tcBorders>
              <w:top w:val="nil"/>
              <w:left w:val="nil"/>
              <w:bottom w:val="single" w:color="auto" w:sz="4" w:space="0"/>
              <w:right w:val="single" w:color="auto" w:sz="4" w:space="0"/>
            </w:tcBorders>
            <w:noWrap/>
            <w:vAlign w:val="center"/>
          </w:tcPr>
          <w:p w14:paraId="260DF48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op w:val="nil"/>
              <w:left w:val="nil"/>
              <w:bottom w:val="single" w:color="auto" w:sz="4" w:space="0"/>
              <w:right w:val="single" w:color="auto" w:sz="4" w:space="0"/>
            </w:tcBorders>
            <w:noWrap/>
            <w:vAlign w:val="center"/>
          </w:tcPr>
          <w:p w14:paraId="39EB287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op w:val="nil"/>
              <w:left w:val="nil"/>
              <w:bottom w:val="single" w:color="auto" w:sz="4" w:space="0"/>
              <w:right w:val="single" w:color="auto" w:sz="4" w:space="0"/>
            </w:tcBorders>
            <w:noWrap/>
            <w:vAlign w:val="center"/>
          </w:tcPr>
          <w:p w14:paraId="4067E46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900" w:type="dxa"/>
            <w:tcBorders>
              <w:top w:val="nil"/>
              <w:left w:val="nil"/>
              <w:bottom w:val="single" w:color="auto" w:sz="4" w:space="0"/>
              <w:right w:val="single" w:color="auto" w:sz="4" w:space="0"/>
            </w:tcBorders>
            <w:noWrap/>
            <w:vAlign w:val="center"/>
          </w:tcPr>
          <w:p w14:paraId="4DE0CFD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r>
      <w:tr w14:paraId="0CFAD391">
        <w:tblPrEx>
          <w:tblCellMar>
            <w:top w:w="0" w:type="dxa"/>
            <w:left w:w="108" w:type="dxa"/>
            <w:bottom w:w="0" w:type="dxa"/>
            <w:right w:w="108" w:type="dxa"/>
          </w:tblCellMar>
        </w:tblPrEx>
        <w:trPr>
          <w:trHeight w:val="270" w:hRule="atLeast"/>
          <w:jc w:val="center"/>
        </w:trPr>
        <w:tc>
          <w:tcPr>
            <w:tcW w:w="1261" w:type="dxa"/>
            <w:vMerge w:val="continue"/>
            <w:tcBorders>
              <w:left w:val="single" w:color="auto" w:sz="4" w:space="0"/>
              <w:right w:val="single" w:color="auto" w:sz="4" w:space="0"/>
            </w:tcBorders>
            <w:noWrap/>
            <w:vAlign w:val="center"/>
          </w:tcPr>
          <w:p w14:paraId="5FF87773">
            <w:pPr>
              <w:widowControl/>
              <w:spacing w:line="360" w:lineRule="auto"/>
              <w:jc w:val="left"/>
              <w:rPr>
                <w:rFonts w:ascii="宋体" w:hAnsi="宋体" w:cs="宋体"/>
                <w:color w:val="000000"/>
                <w:kern w:val="0"/>
                <w:szCs w:val="21"/>
              </w:rPr>
            </w:pPr>
          </w:p>
        </w:tc>
        <w:tc>
          <w:tcPr>
            <w:tcW w:w="2259" w:type="dxa"/>
            <w:tcBorders>
              <w:top w:val="nil"/>
              <w:left w:val="nil"/>
              <w:bottom w:val="single" w:color="auto" w:sz="4" w:space="0"/>
              <w:right w:val="single" w:color="auto" w:sz="4" w:space="0"/>
            </w:tcBorders>
            <w:noWrap/>
            <w:vAlign w:val="center"/>
          </w:tcPr>
          <w:p w14:paraId="1FFB8A2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op w:val="nil"/>
              <w:left w:val="nil"/>
              <w:bottom w:val="single" w:color="auto" w:sz="4" w:space="0"/>
              <w:right w:val="single" w:color="auto" w:sz="4" w:space="0"/>
            </w:tcBorders>
            <w:noWrap/>
            <w:vAlign w:val="center"/>
          </w:tcPr>
          <w:p w14:paraId="5DC4D24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592*592*360</w:t>
            </w:r>
          </w:p>
        </w:tc>
        <w:tc>
          <w:tcPr>
            <w:tcW w:w="1040" w:type="dxa"/>
            <w:tcBorders>
              <w:top w:val="nil"/>
              <w:left w:val="nil"/>
              <w:bottom w:val="single" w:color="auto" w:sz="4" w:space="0"/>
              <w:right w:val="single" w:color="auto" w:sz="4" w:space="0"/>
            </w:tcBorders>
            <w:noWrap/>
            <w:vAlign w:val="center"/>
          </w:tcPr>
          <w:p w14:paraId="219159C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op w:val="nil"/>
              <w:left w:val="nil"/>
              <w:bottom w:val="single" w:color="auto" w:sz="4" w:space="0"/>
              <w:right w:val="single" w:color="auto" w:sz="4" w:space="0"/>
            </w:tcBorders>
            <w:noWrap/>
            <w:vAlign w:val="center"/>
          </w:tcPr>
          <w:p w14:paraId="5257F04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60" w:type="dxa"/>
            <w:tcBorders>
              <w:top w:val="nil"/>
              <w:left w:val="nil"/>
              <w:bottom w:val="single" w:color="auto" w:sz="4" w:space="0"/>
              <w:right w:val="single" w:color="auto" w:sz="4" w:space="0"/>
            </w:tcBorders>
            <w:noWrap/>
            <w:vAlign w:val="center"/>
          </w:tcPr>
          <w:p w14:paraId="5BA4C0A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op w:val="nil"/>
              <w:left w:val="nil"/>
              <w:bottom w:val="single" w:color="auto" w:sz="4" w:space="0"/>
              <w:right w:val="single" w:color="auto" w:sz="4" w:space="0"/>
            </w:tcBorders>
            <w:noWrap/>
            <w:vAlign w:val="center"/>
          </w:tcPr>
          <w:p w14:paraId="1853A10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r>
      <w:tr w14:paraId="255EF620">
        <w:tblPrEx>
          <w:tblCellMar>
            <w:top w:w="0" w:type="dxa"/>
            <w:left w:w="108" w:type="dxa"/>
            <w:bottom w:w="0" w:type="dxa"/>
            <w:right w:w="108" w:type="dxa"/>
          </w:tblCellMar>
        </w:tblPrEx>
        <w:trPr>
          <w:trHeight w:val="270" w:hRule="atLeast"/>
          <w:jc w:val="center"/>
        </w:trPr>
        <w:tc>
          <w:tcPr>
            <w:tcW w:w="1261" w:type="dxa"/>
            <w:vMerge w:val="continue"/>
            <w:tcBorders>
              <w:left w:val="single" w:color="auto" w:sz="4" w:space="0"/>
              <w:bottom w:val="single" w:color="auto" w:sz="4" w:space="0"/>
              <w:right w:val="single" w:color="auto" w:sz="4" w:space="0"/>
            </w:tcBorders>
            <w:noWrap/>
            <w:vAlign w:val="center"/>
          </w:tcPr>
          <w:p w14:paraId="134D77C0">
            <w:pPr>
              <w:widowControl/>
              <w:spacing w:line="360" w:lineRule="auto"/>
              <w:jc w:val="left"/>
              <w:rPr>
                <w:rFonts w:ascii="宋体" w:hAnsi="宋体" w:cs="宋体"/>
                <w:color w:val="000000"/>
                <w:kern w:val="0"/>
                <w:szCs w:val="21"/>
              </w:rPr>
            </w:pPr>
          </w:p>
        </w:tc>
        <w:tc>
          <w:tcPr>
            <w:tcW w:w="2259" w:type="dxa"/>
            <w:tcBorders>
              <w:top w:val="nil"/>
              <w:left w:val="nil"/>
              <w:bottom w:val="single" w:color="auto" w:sz="4" w:space="0"/>
              <w:right w:val="single" w:color="auto" w:sz="4" w:space="0"/>
            </w:tcBorders>
            <w:noWrap/>
            <w:vAlign w:val="center"/>
          </w:tcPr>
          <w:p w14:paraId="695EDAF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中效过滤器</w:t>
            </w:r>
          </w:p>
        </w:tc>
        <w:tc>
          <w:tcPr>
            <w:tcW w:w="1540" w:type="dxa"/>
            <w:tcBorders>
              <w:top w:val="nil"/>
              <w:left w:val="nil"/>
              <w:bottom w:val="single" w:color="auto" w:sz="4" w:space="0"/>
              <w:right w:val="single" w:color="auto" w:sz="4" w:space="0"/>
            </w:tcBorders>
            <w:noWrap/>
            <w:vAlign w:val="center"/>
          </w:tcPr>
          <w:p w14:paraId="546D375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592*287*360</w:t>
            </w:r>
          </w:p>
        </w:tc>
        <w:tc>
          <w:tcPr>
            <w:tcW w:w="1040" w:type="dxa"/>
            <w:tcBorders>
              <w:top w:val="nil"/>
              <w:left w:val="nil"/>
              <w:bottom w:val="single" w:color="auto" w:sz="4" w:space="0"/>
              <w:right w:val="single" w:color="auto" w:sz="4" w:space="0"/>
            </w:tcBorders>
            <w:noWrap/>
            <w:vAlign w:val="center"/>
          </w:tcPr>
          <w:p w14:paraId="162B112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060" w:type="dxa"/>
            <w:tcBorders>
              <w:top w:val="nil"/>
              <w:left w:val="nil"/>
              <w:bottom w:val="single" w:color="auto" w:sz="4" w:space="0"/>
              <w:right w:val="single" w:color="auto" w:sz="4" w:space="0"/>
            </w:tcBorders>
            <w:noWrap/>
            <w:vAlign w:val="center"/>
          </w:tcPr>
          <w:p w14:paraId="6AE70DF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60" w:type="dxa"/>
            <w:tcBorders>
              <w:top w:val="nil"/>
              <w:left w:val="nil"/>
              <w:bottom w:val="single" w:color="auto" w:sz="4" w:space="0"/>
              <w:right w:val="single" w:color="auto" w:sz="4" w:space="0"/>
            </w:tcBorders>
            <w:noWrap/>
            <w:vAlign w:val="center"/>
          </w:tcPr>
          <w:p w14:paraId="7E5EB42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900" w:type="dxa"/>
            <w:tcBorders>
              <w:top w:val="nil"/>
              <w:left w:val="nil"/>
              <w:bottom w:val="single" w:color="auto" w:sz="4" w:space="0"/>
              <w:right w:val="single" w:color="auto" w:sz="4" w:space="0"/>
            </w:tcBorders>
            <w:noWrap/>
            <w:vAlign w:val="center"/>
          </w:tcPr>
          <w:p w14:paraId="55D3C49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r>
      <w:tr w14:paraId="46270FC7">
        <w:tblPrEx>
          <w:tblCellMar>
            <w:top w:w="0" w:type="dxa"/>
            <w:left w:w="108" w:type="dxa"/>
            <w:bottom w:w="0" w:type="dxa"/>
            <w:right w:w="108" w:type="dxa"/>
          </w:tblCellMar>
        </w:tblPrEx>
        <w:trPr>
          <w:trHeight w:val="270" w:hRule="atLeast"/>
          <w:jc w:val="center"/>
        </w:trPr>
        <w:tc>
          <w:tcPr>
            <w:tcW w:w="8920" w:type="dxa"/>
            <w:gridSpan w:val="7"/>
            <w:tcBorders>
              <w:top w:val="single" w:color="auto" w:sz="4" w:space="0"/>
              <w:left w:val="single" w:color="auto" w:sz="4" w:space="0"/>
              <w:bottom w:val="single" w:color="auto" w:sz="4" w:space="0"/>
              <w:right w:val="single" w:color="auto" w:sz="4" w:space="0"/>
            </w:tcBorders>
            <w:noWrap/>
            <w:vAlign w:val="center"/>
          </w:tcPr>
          <w:p w14:paraId="28635E1D">
            <w:pPr>
              <w:widowControl/>
              <w:spacing w:line="360" w:lineRule="auto"/>
              <w:jc w:val="center"/>
              <w:rPr>
                <w:rFonts w:ascii="宋体" w:hAnsi="宋体" w:cs="宋体"/>
                <w:color w:val="000000"/>
                <w:kern w:val="0"/>
                <w:szCs w:val="21"/>
              </w:rPr>
            </w:pPr>
            <w:r>
              <w:rPr>
                <w:rFonts w:hint="eastAsia" w:ascii="宋体" w:hAnsi="宋体" w:cs="宋体"/>
                <w:color w:val="auto"/>
                <w:kern w:val="0"/>
                <w:szCs w:val="21"/>
              </w:rPr>
              <w:t xml:space="preserve">合计（一年更换数量）：    </w:t>
            </w:r>
            <w:r>
              <w:rPr>
                <w:rFonts w:hint="eastAsia" w:ascii="宋体" w:hAnsi="宋体" w:cs="宋体"/>
                <w:color w:val="000000"/>
                <w:kern w:val="0"/>
                <w:szCs w:val="21"/>
              </w:rPr>
              <w:t xml:space="preserve">                        30                          </w:t>
            </w:r>
          </w:p>
        </w:tc>
      </w:tr>
    </w:tbl>
    <w:p w14:paraId="0F1E7A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rPr>
        <w:t>6、高效过滤器限价表</w:t>
      </w:r>
      <w:r>
        <w:rPr>
          <w:rFonts w:hint="eastAsia" w:ascii="宋体" w:hAnsi="宋体" w:cs="宋体"/>
          <w:b/>
          <w:bCs/>
          <w:color w:val="FF0000"/>
          <w:szCs w:val="21"/>
          <w:highlight w:val="yellow"/>
          <w:lang w:eastAsia="zh-CN"/>
        </w:rPr>
        <w:t>【</w:t>
      </w:r>
      <w:r>
        <w:rPr>
          <w:rFonts w:hint="eastAsia" w:ascii="宋体" w:hAnsi="宋体" w:cs="宋体"/>
          <w:b/>
          <w:bCs/>
          <w:color w:val="FF0000"/>
          <w:kern w:val="0"/>
          <w:szCs w:val="21"/>
          <w:highlight w:val="yellow"/>
          <w:lang w:eastAsia="zh-CN"/>
        </w:rPr>
        <w:t>投标人</w:t>
      </w:r>
      <w:r>
        <w:rPr>
          <w:rFonts w:hint="eastAsia" w:ascii="宋体" w:hAnsi="宋体" w:cs="宋体"/>
          <w:b/>
          <w:bCs/>
          <w:color w:val="FF0000"/>
          <w:kern w:val="0"/>
          <w:szCs w:val="21"/>
          <w:highlight w:val="yellow"/>
          <w:lang w:val="en-US" w:eastAsia="zh-CN"/>
        </w:rPr>
        <w:t>需</w:t>
      </w:r>
      <w:r>
        <w:rPr>
          <w:rFonts w:hint="eastAsia" w:ascii="宋体" w:hAnsi="宋体" w:cs="宋体"/>
          <w:b/>
          <w:bCs/>
          <w:color w:val="FF0000"/>
          <w:kern w:val="0"/>
          <w:szCs w:val="21"/>
          <w:highlight w:val="yellow"/>
          <w:lang w:eastAsia="zh-CN"/>
        </w:rPr>
        <w:t>提供承诺函（</w:t>
      </w:r>
      <w:r>
        <w:rPr>
          <w:rFonts w:hint="eastAsia" w:ascii="宋体" w:hAnsi="宋体" w:cs="宋体"/>
          <w:b/>
          <w:bCs/>
          <w:color w:val="FF0000"/>
          <w:kern w:val="0"/>
          <w:szCs w:val="21"/>
          <w:highlight w:val="yellow"/>
          <w:lang w:val="en-US" w:eastAsia="zh-CN"/>
        </w:rPr>
        <w:t>格式自拟</w:t>
      </w:r>
      <w:r>
        <w:rPr>
          <w:rFonts w:hint="eastAsia" w:ascii="宋体" w:hAnsi="宋体" w:cs="宋体"/>
          <w:b/>
          <w:bCs/>
          <w:color w:val="FF0000"/>
          <w:kern w:val="0"/>
          <w:szCs w:val="21"/>
          <w:highlight w:val="yellow"/>
          <w:lang w:eastAsia="zh-CN"/>
        </w:rPr>
        <w:t>），</w:t>
      </w:r>
      <w:r>
        <w:rPr>
          <w:rFonts w:hint="eastAsia" w:ascii="宋体" w:hAnsi="宋体" w:cs="宋体"/>
          <w:b/>
          <w:bCs/>
          <w:color w:val="FF0000"/>
          <w:szCs w:val="21"/>
          <w:highlight w:val="yellow"/>
        </w:rPr>
        <w:t>承诺提供</w:t>
      </w:r>
      <w:r>
        <w:rPr>
          <w:rFonts w:hint="eastAsia" w:ascii="宋体" w:hAnsi="宋体" w:cs="宋体"/>
          <w:b/>
          <w:bCs/>
          <w:color w:val="FF0000"/>
          <w:szCs w:val="21"/>
          <w:highlight w:val="yellow"/>
          <w:lang w:val="en-US" w:eastAsia="zh-CN"/>
        </w:rPr>
        <w:t>国产品牌和进口品牌的</w:t>
      </w:r>
      <w:r>
        <w:rPr>
          <w:rFonts w:hint="eastAsia" w:ascii="宋体" w:hAnsi="宋体" w:cs="宋体"/>
          <w:b/>
          <w:bCs/>
          <w:color w:val="FF0000"/>
          <w:szCs w:val="21"/>
          <w:highlight w:val="yellow"/>
        </w:rPr>
        <w:t>产品单价不高于</w:t>
      </w:r>
      <w:r>
        <w:rPr>
          <w:rFonts w:hint="eastAsia" w:ascii="宋体" w:hAnsi="宋体" w:cs="宋体"/>
          <w:b/>
          <w:bCs/>
          <w:color w:val="FF0000"/>
          <w:szCs w:val="21"/>
          <w:highlight w:val="yellow"/>
          <w:lang w:eastAsia="zh-CN"/>
        </w:rPr>
        <w:t>“高效过滤器限价表”</w:t>
      </w:r>
      <w:r>
        <w:rPr>
          <w:rFonts w:hint="eastAsia" w:ascii="宋体" w:hAnsi="宋体" w:cs="宋体"/>
          <w:b/>
          <w:bCs/>
          <w:color w:val="FF0000"/>
          <w:szCs w:val="21"/>
          <w:highlight w:val="yellow"/>
          <w:lang w:val="en-US" w:eastAsia="zh-CN"/>
        </w:rPr>
        <w:t>中的</w:t>
      </w:r>
      <w:r>
        <w:rPr>
          <w:rFonts w:hint="eastAsia" w:ascii="宋体" w:hAnsi="宋体" w:cs="宋体"/>
          <w:b/>
          <w:bCs/>
          <w:color w:val="FF0000"/>
          <w:szCs w:val="21"/>
          <w:highlight w:val="yellow"/>
        </w:rPr>
        <w:t>单价最高限价</w:t>
      </w:r>
      <w:r>
        <w:rPr>
          <w:rFonts w:hint="eastAsia" w:ascii="宋体" w:hAnsi="宋体" w:cs="宋体"/>
          <w:b/>
          <w:bCs/>
          <w:color w:val="FF0000"/>
          <w:szCs w:val="21"/>
          <w:highlight w:val="yellow"/>
          <w:lang w:eastAsia="zh-CN"/>
        </w:rPr>
        <w:t>，未提供承诺或承诺内容不满足要求的，做投标无效处理；该费用不包含在投标总价中】</w:t>
      </w:r>
      <w:r>
        <w:rPr>
          <w:rFonts w:hint="eastAsia" w:ascii="宋体" w:hAnsi="宋体" w:cs="宋体"/>
          <w:b/>
          <w:bCs/>
          <w:color w:val="FF0000"/>
          <w:szCs w:val="21"/>
          <w:highlight w:val="yellow"/>
        </w:rPr>
        <w:t>：</w:t>
      </w:r>
    </w:p>
    <w:tbl>
      <w:tblPr>
        <w:tblStyle w:val="4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773"/>
        <w:gridCol w:w="1736"/>
        <w:gridCol w:w="773"/>
        <w:gridCol w:w="1417"/>
        <w:gridCol w:w="1676"/>
        <w:gridCol w:w="1676"/>
      </w:tblGrid>
      <w:tr w14:paraId="45F7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vMerge w:val="restart"/>
            <w:tcBorders>
              <w:tl2br w:val="nil"/>
              <w:tr2bl w:val="nil"/>
            </w:tcBorders>
            <w:noWrap/>
            <w:vAlign w:val="center"/>
          </w:tcPr>
          <w:p w14:paraId="6408E1B6">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773" w:type="dxa"/>
            <w:vMerge w:val="restart"/>
            <w:tcBorders>
              <w:tl2br w:val="nil"/>
              <w:tr2bl w:val="nil"/>
            </w:tcBorders>
            <w:noWrap/>
            <w:vAlign w:val="center"/>
          </w:tcPr>
          <w:p w14:paraId="03B41334">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效率</w:t>
            </w:r>
          </w:p>
        </w:tc>
        <w:tc>
          <w:tcPr>
            <w:tcW w:w="1736" w:type="dxa"/>
            <w:vMerge w:val="restart"/>
            <w:tcBorders>
              <w:tl2br w:val="nil"/>
              <w:tr2bl w:val="nil"/>
            </w:tcBorders>
            <w:noWrap/>
            <w:vAlign w:val="center"/>
          </w:tcPr>
          <w:p w14:paraId="5A42D314">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规格型号（mm）</w:t>
            </w:r>
          </w:p>
        </w:tc>
        <w:tc>
          <w:tcPr>
            <w:tcW w:w="773" w:type="dxa"/>
            <w:vMerge w:val="restart"/>
            <w:tcBorders>
              <w:tl2br w:val="nil"/>
              <w:tr2bl w:val="nil"/>
            </w:tcBorders>
            <w:noWrap/>
            <w:vAlign w:val="center"/>
          </w:tcPr>
          <w:p w14:paraId="3D102D72">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417" w:type="dxa"/>
            <w:tcBorders>
              <w:tl2br w:val="nil"/>
              <w:tr2bl w:val="nil"/>
            </w:tcBorders>
            <w:noWrap/>
            <w:vAlign w:val="center"/>
          </w:tcPr>
          <w:p w14:paraId="496F0711">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国产品牌</w:t>
            </w:r>
          </w:p>
        </w:tc>
        <w:tc>
          <w:tcPr>
            <w:tcW w:w="1676" w:type="dxa"/>
            <w:tcBorders>
              <w:tl2br w:val="nil"/>
              <w:tr2bl w:val="nil"/>
            </w:tcBorders>
            <w:noWrap/>
            <w:vAlign w:val="center"/>
          </w:tcPr>
          <w:p w14:paraId="6CE025D3">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进口品牌</w:t>
            </w:r>
          </w:p>
        </w:tc>
        <w:tc>
          <w:tcPr>
            <w:tcW w:w="1676" w:type="dxa"/>
            <w:vMerge w:val="restart"/>
            <w:tcBorders>
              <w:tl2br w:val="nil"/>
              <w:tr2bl w:val="nil"/>
            </w:tcBorders>
            <w:noWrap/>
            <w:vAlign w:val="center"/>
          </w:tcPr>
          <w:p w14:paraId="56A255C6">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2E06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vMerge w:val="continue"/>
            <w:tcBorders>
              <w:tl2br w:val="nil"/>
              <w:tr2bl w:val="nil"/>
            </w:tcBorders>
            <w:noWrap/>
            <w:vAlign w:val="center"/>
          </w:tcPr>
          <w:p w14:paraId="1BB8DBA6">
            <w:pPr>
              <w:widowControl/>
              <w:spacing w:line="360" w:lineRule="auto"/>
              <w:jc w:val="left"/>
              <w:rPr>
                <w:rFonts w:ascii="宋体" w:hAnsi="宋体" w:cs="宋体"/>
                <w:b/>
                <w:bCs/>
                <w:color w:val="000000"/>
                <w:kern w:val="0"/>
                <w:szCs w:val="21"/>
              </w:rPr>
            </w:pPr>
          </w:p>
        </w:tc>
        <w:tc>
          <w:tcPr>
            <w:tcW w:w="773" w:type="dxa"/>
            <w:vMerge w:val="continue"/>
            <w:tcBorders>
              <w:tl2br w:val="nil"/>
              <w:tr2bl w:val="nil"/>
            </w:tcBorders>
            <w:noWrap/>
            <w:vAlign w:val="center"/>
          </w:tcPr>
          <w:p w14:paraId="0E1A180D">
            <w:pPr>
              <w:widowControl/>
              <w:spacing w:line="360" w:lineRule="auto"/>
              <w:jc w:val="left"/>
              <w:rPr>
                <w:rFonts w:ascii="宋体" w:hAnsi="宋体" w:cs="宋体"/>
                <w:b/>
                <w:bCs/>
                <w:color w:val="000000"/>
                <w:kern w:val="0"/>
                <w:szCs w:val="21"/>
              </w:rPr>
            </w:pPr>
          </w:p>
        </w:tc>
        <w:tc>
          <w:tcPr>
            <w:tcW w:w="1736" w:type="dxa"/>
            <w:vMerge w:val="continue"/>
            <w:tcBorders>
              <w:tl2br w:val="nil"/>
              <w:tr2bl w:val="nil"/>
            </w:tcBorders>
            <w:noWrap/>
            <w:vAlign w:val="center"/>
          </w:tcPr>
          <w:p w14:paraId="51786586">
            <w:pPr>
              <w:widowControl/>
              <w:spacing w:line="360" w:lineRule="auto"/>
              <w:jc w:val="left"/>
              <w:rPr>
                <w:rFonts w:ascii="宋体" w:hAnsi="宋体" w:cs="宋体"/>
                <w:b/>
                <w:bCs/>
                <w:color w:val="000000"/>
                <w:kern w:val="0"/>
                <w:szCs w:val="21"/>
              </w:rPr>
            </w:pPr>
          </w:p>
        </w:tc>
        <w:tc>
          <w:tcPr>
            <w:tcW w:w="773" w:type="dxa"/>
            <w:vMerge w:val="continue"/>
            <w:tcBorders>
              <w:tl2br w:val="nil"/>
              <w:tr2bl w:val="nil"/>
            </w:tcBorders>
            <w:noWrap/>
            <w:vAlign w:val="center"/>
          </w:tcPr>
          <w:p w14:paraId="7822F8BB">
            <w:pPr>
              <w:widowControl/>
              <w:spacing w:line="360" w:lineRule="auto"/>
              <w:jc w:val="left"/>
              <w:rPr>
                <w:rFonts w:ascii="宋体" w:hAnsi="宋体" w:cs="宋体"/>
                <w:b/>
                <w:bCs/>
                <w:color w:val="000000"/>
                <w:kern w:val="0"/>
                <w:szCs w:val="21"/>
              </w:rPr>
            </w:pPr>
          </w:p>
        </w:tc>
        <w:tc>
          <w:tcPr>
            <w:tcW w:w="1417" w:type="dxa"/>
            <w:tcBorders>
              <w:tl2br w:val="nil"/>
              <w:tr2bl w:val="nil"/>
            </w:tcBorders>
            <w:noWrap/>
            <w:vAlign w:val="center"/>
          </w:tcPr>
          <w:p w14:paraId="18D0034E">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单价最高限价（元）</w:t>
            </w:r>
          </w:p>
        </w:tc>
        <w:tc>
          <w:tcPr>
            <w:tcW w:w="1676" w:type="dxa"/>
            <w:tcBorders>
              <w:tl2br w:val="nil"/>
              <w:tr2bl w:val="nil"/>
            </w:tcBorders>
            <w:noWrap/>
            <w:vAlign w:val="center"/>
          </w:tcPr>
          <w:p w14:paraId="45B86DA7">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单价最高限价（元）</w:t>
            </w:r>
          </w:p>
        </w:tc>
        <w:tc>
          <w:tcPr>
            <w:tcW w:w="1676" w:type="dxa"/>
            <w:vMerge w:val="continue"/>
            <w:tcBorders>
              <w:tl2br w:val="nil"/>
              <w:tr2bl w:val="nil"/>
            </w:tcBorders>
            <w:noWrap/>
            <w:vAlign w:val="center"/>
          </w:tcPr>
          <w:p w14:paraId="4B769988">
            <w:pPr>
              <w:widowControl/>
              <w:spacing w:line="360" w:lineRule="auto"/>
              <w:jc w:val="center"/>
              <w:rPr>
                <w:rFonts w:ascii="宋体" w:hAnsi="宋体" w:cs="宋体"/>
                <w:b/>
                <w:bCs/>
                <w:color w:val="000000"/>
                <w:kern w:val="0"/>
                <w:szCs w:val="21"/>
              </w:rPr>
            </w:pPr>
          </w:p>
        </w:tc>
      </w:tr>
      <w:tr w14:paraId="6339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4B9BED7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58DE65F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31C872A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484*484*69</w:t>
            </w:r>
          </w:p>
        </w:tc>
        <w:tc>
          <w:tcPr>
            <w:tcW w:w="773" w:type="dxa"/>
            <w:tcBorders>
              <w:tl2br w:val="nil"/>
              <w:tr2bl w:val="nil"/>
            </w:tcBorders>
            <w:noWrap/>
            <w:vAlign w:val="center"/>
          </w:tcPr>
          <w:p w14:paraId="02E1D2C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51F54B1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390</w:t>
            </w:r>
          </w:p>
        </w:tc>
        <w:tc>
          <w:tcPr>
            <w:tcW w:w="1676" w:type="dxa"/>
            <w:tcBorders>
              <w:tl2br w:val="nil"/>
              <w:tr2bl w:val="nil"/>
            </w:tcBorders>
            <w:noWrap/>
            <w:vAlign w:val="center"/>
          </w:tcPr>
          <w:p w14:paraId="1D05DEC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567</w:t>
            </w:r>
          </w:p>
        </w:tc>
        <w:tc>
          <w:tcPr>
            <w:tcW w:w="1676" w:type="dxa"/>
            <w:tcBorders>
              <w:tl2br w:val="nil"/>
              <w:tr2bl w:val="nil"/>
            </w:tcBorders>
            <w:noWrap/>
            <w:vAlign w:val="center"/>
          </w:tcPr>
          <w:p w14:paraId="4718C097">
            <w:pPr>
              <w:widowControl/>
              <w:spacing w:line="360" w:lineRule="auto"/>
              <w:jc w:val="center"/>
              <w:rPr>
                <w:rFonts w:ascii="宋体" w:hAnsi="宋体" w:cs="宋体"/>
                <w:color w:val="000000"/>
                <w:kern w:val="0"/>
                <w:szCs w:val="21"/>
              </w:rPr>
            </w:pPr>
          </w:p>
        </w:tc>
      </w:tr>
      <w:tr w14:paraId="08E9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712B2DA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16FFE94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76C96F0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427*427*69</w:t>
            </w:r>
          </w:p>
        </w:tc>
        <w:tc>
          <w:tcPr>
            <w:tcW w:w="773" w:type="dxa"/>
            <w:tcBorders>
              <w:tl2br w:val="nil"/>
              <w:tr2bl w:val="nil"/>
            </w:tcBorders>
            <w:noWrap/>
            <w:vAlign w:val="center"/>
          </w:tcPr>
          <w:p w14:paraId="11BBA58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57D62DE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375</w:t>
            </w:r>
          </w:p>
        </w:tc>
        <w:tc>
          <w:tcPr>
            <w:tcW w:w="1676" w:type="dxa"/>
            <w:tcBorders>
              <w:tl2br w:val="nil"/>
              <w:tr2bl w:val="nil"/>
            </w:tcBorders>
            <w:noWrap/>
            <w:vAlign w:val="center"/>
          </w:tcPr>
          <w:p w14:paraId="0A3231D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535</w:t>
            </w:r>
          </w:p>
        </w:tc>
        <w:tc>
          <w:tcPr>
            <w:tcW w:w="1676" w:type="dxa"/>
            <w:tcBorders>
              <w:tl2br w:val="nil"/>
              <w:tr2bl w:val="nil"/>
            </w:tcBorders>
            <w:noWrap/>
            <w:vAlign w:val="center"/>
          </w:tcPr>
          <w:p w14:paraId="239D0CF4">
            <w:pPr>
              <w:widowControl/>
              <w:spacing w:line="360" w:lineRule="auto"/>
              <w:jc w:val="center"/>
              <w:rPr>
                <w:rFonts w:ascii="宋体" w:hAnsi="宋体" w:cs="宋体"/>
                <w:color w:val="000000"/>
                <w:kern w:val="0"/>
                <w:szCs w:val="21"/>
              </w:rPr>
            </w:pPr>
          </w:p>
        </w:tc>
      </w:tr>
      <w:tr w14:paraId="1266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2691AE8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75E82E8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69E2537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530*530*69</w:t>
            </w:r>
          </w:p>
        </w:tc>
        <w:tc>
          <w:tcPr>
            <w:tcW w:w="773" w:type="dxa"/>
            <w:tcBorders>
              <w:tl2br w:val="nil"/>
              <w:tr2bl w:val="nil"/>
            </w:tcBorders>
            <w:noWrap/>
            <w:vAlign w:val="center"/>
          </w:tcPr>
          <w:p w14:paraId="522E3F5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1FF5DF0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410</w:t>
            </w:r>
          </w:p>
        </w:tc>
        <w:tc>
          <w:tcPr>
            <w:tcW w:w="1676" w:type="dxa"/>
            <w:tcBorders>
              <w:tl2br w:val="nil"/>
              <w:tr2bl w:val="nil"/>
            </w:tcBorders>
            <w:noWrap/>
            <w:vAlign w:val="center"/>
          </w:tcPr>
          <w:p w14:paraId="207A4D1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736</w:t>
            </w:r>
          </w:p>
        </w:tc>
        <w:tc>
          <w:tcPr>
            <w:tcW w:w="1676" w:type="dxa"/>
            <w:tcBorders>
              <w:tl2br w:val="nil"/>
              <w:tr2bl w:val="nil"/>
            </w:tcBorders>
            <w:noWrap/>
            <w:vAlign w:val="center"/>
          </w:tcPr>
          <w:p w14:paraId="4BF7EC63">
            <w:pPr>
              <w:widowControl/>
              <w:spacing w:line="360" w:lineRule="auto"/>
              <w:jc w:val="center"/>
              <w:rPr>
                <w:rFonts w:ascii="宋体" w:hAnsi="宋体" w:cs="宋体"/>
                <w:color w:val="000000"/>
                <w:kern w:val="0"/>
                <w:szCs w:val="21"/>
              </w:rPr>
            </w:pPr>
          </w:p>
        </w:tc>
      </w:tr>
      <w:tr w14:paraId="16C2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08A7FCE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4EA6B49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34BBCF2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484*484*220</w:t>
            </w:r>
          </w:p>
        </w:tc>
        <w:tc>
          <w:tcPr>
            <w:tcW w:w="773" w:type="dxa"/>
            <w:tcBorders>
              <w:tl2br w:val="nil"/>
              <w:tr2bl w:val="nil"/>
            </w:tcBorders>
            <w:noWrap/>
            <w:vAlign w:val="center"/>
          </w:tcPr>
          <w:p w14:paraId="5EAEC5C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6000E46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470</w:t>
            </w:r>
          </w:p>
        </w:tc>
        <w:tc>
          <w:tcPr>
            <w:tcW w:w="1676" w:type="dxa"/>
            <w:tcBorders>
              <w:tl2br w:val="nil"/>
              <w:tr2bl w:val="nil"/>
            </w:tcBorders>
            <w:noWrap/>
            <w:vAlign w:val="center"/>
          </w:tcPr>
          <w:p w14:paraId="4E944C0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822</w:t>
            </w:r>
          </w:p>
        </w:tc>
        <w:tc>
          <w:tcPr>
            <w:tcW w:w="1676" w:type="dxa"/>
            <w:tcBorders>
              <w:tl2br w:val="nil"/>
              <w:tr2bl w:val="nil"/>
            </w:tcBorders>
            <w:noWrap/>
            <w:vAlign w:val="center"/>
          </w:tcPr>
          <w:p w14:paraId="507FC8FB">
            <w:pPr>
              <w:widowControl/>
              <w:spacing w:line="360" w:lineRule="auto"/>
              <w:jc w:val="center"/>
              <w:rPr>
                <w:rFonts w:ascii="宋体" w:hAnsi="宋体" w:cs="宋体"/>
                <w:color w:val="000000"/>
                <w:kern w:val="0"/>
                <w:szCs w:val="21"/>
              </w:rPr>
            </w:pPr>
          </w:p>
        </w:tc>
      </w:tr>
      <w:tr w14:paraId="7A92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0BF5DC4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4F6DC25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2CFB5EE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320*320*220</w:t>
            </w:r>
          </w:p>
        </w:tc>
        <w:tc>
          <w:tcPr>
            <w:tcW w:w="773" w:type="dxa"/>
            <w:tcBorders>
              <w:tl2br w:val="nil"/>
              <w:tr2bl w:val="nil"/>
            </w:tcBorders>
            <w:noWrap/>
            <w:vAlign w:val="center"/>
          </w:tcPr>
          <w:p w14:paraId="0CA27E3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5B678D7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390</w:t>
            </w:r>
          </w:p>
        </w:tc>
        <w:tc>
          <w:tcPr>
            <w:tcW w:w="1676" w:type="dxa"/>
            <w:tcBorders>
              <w:tl2br w:val="nil"/>
              <w:tr2bl w:val="nil"/>
            </w:tcBorders>
            <w:noWrap/>
            <w:vAlign w:val="center"/>
          </w:tcPr>
          <w:p w14:paraId="1B5C7CD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624</w:t>
            </w:r>
          </w:p>
        </w:tc>
        <w:tc>
          <w:tcPr>
            <w:tcW w:w="1676" w:type="dxa"/>
            <w:tcBorders>
              <w:tl2br w:val="nil"/>
              <w:tr2bl w:val="nil"/>
            </w:tcBorders>
            <w:noWrap/>
            <w:vAlign w:val="center"/>
          </w:tcPr>
          <w:p w14:paraId="206F7731">
            <w:pPr>
              <w:widowControl/>
              <w:spacing w:line="360" w:lineRule="auto"/>
              <w:jc w:val="center"/>
              <w:rPr>
                <w:rFonts w:ascii="宋体" w:hAnsi="宋体" w:cs="宋体"/>
                <w:color w:val="000000"/>
                <w:kern w:val="0"/>
                <w:szCs w:val="21"/>
              </w:rPr>
            </w:pPr>
          </w:p>
        </w:tc>
      </w:tr>
      <w:tr w14:paraId="2CA6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55B1A26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47B8CBF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791ABCF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610*305*292</w:t>
            </w:r>
          </w:p>
        </w:tc>
        <w:tc>
          <w:tcPr>
            <w:tcW w:w="773" w:type="dxa"/>
            <w:tcBorders>
              <w:tl2br w:val="nil"/>
              <w:tr2bl w:val="nil"/>
            </w:tcBorders>
            <w:noWrap/>
            <w:vAlign w:val="center"/>
          </w:tcPr>
          <w:p w14:paraId="4BDED23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294EA10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609</w:t>
            </w:r>
          </w:p>
        </w:tc>
        <w:tc>
          <w:tcPr>
            <w:tcW w:w="1676" w:type="dxa"/>
            <w:tcBorders>
              <w:tl2br w:val="nil"/>
              <w:tr2bl w:val="nil"/>
            </w:tcBorders>
            <w:noWrap/>
            <w:vAlign w:val="center"/>
          </w:tcPr>
          <w:p w14:paraId="4EE8FBC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1180</w:t>
            </w:r>
          </w:p>
        </w:tc>
        <w:tc>
          <w:tcPr>
            <w:tcW w:w="1676" w:type="dxa"/>
            <w:tcBorders>
              <w:tl2br w:val="nil"/>
              <w:tr2bl w:val="nil"/>
            </w:tcBorders>
            <w:noWrap/>
            <w:vAlign w:val="center"/>
          </w:tcPr>
          <w:p w14:paraId="1728D5C1">
            <w:pPr>
              <w:widowControl/>
              <w:spacing w:line="360" w:lineRule="auto"/>
              <w:jc w:val="center"/>
              <w:rPr>
                <w:rFonts w:ascii="宋体" w:hAnsi="宋体" w:cs="宋体"/>
                <w:color w:val="000000"/>
                <w:kern w:val="0"/>
                <w:szCs w:val="21"/>
              </w:rPr>
            </w:pPr>
          </w:p>
        </w:tc>
      </w:tr>
      <w:tr w14:paraId="3BC0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3B72E33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445EF75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73B2DEF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915*610*150</w:t>
            </w:r>
          </w:p>
        </w:tc>
        <w:tc>
          <w:tcPr>
            <w:tcW w:w="773" w:type="dxa"/>
            <w:tcBorders>
              <w:tl2br w:val="nil"/>
              <w:tr2bl w:val="nil"/>
            </w:tcBorders>
            <w:noWrap/>
            <w:vAlign w:val="center"/>
          </w:tcPr>
          <w:p w14:paraId="3D2CE53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5C30613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760</w:t>
            </w:r>
          </w:p>
        </w:tc>
        <w:tc>
          <w:tcPr>
            <w:tcW w:w="1676" w:type="dxa"/>
            <w:tcBorders>
              <w:tl2br w:val="nil"/>
              <w:tr2bl w:val="nil"/>
            </w:tcBorders>
            <w:noWrap/>
            <w:vAlign w:val="center"/>
          </w:tcPr>
          <w:p w14:paraId="2A2557A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1247</w:t>
            </w:r>
          </w:p>
        </w:tc>
        <w:tc>
          <w:tcPr>
            <w:tcW w:w="1676" w:type="dxa"/>
            <w:tcBorders>
              <w:tl2br w:val="nil"/>
              <w:tr2bl w:val="nil"/>
            </w:tcBorders>
            <w:noWrap/>
            <w:vAlign w:val="center"/>
          </w:tcPr>
          <w:p w14:paraId="16386031">
            <w:pPr>
              <w:widowControl/>
              <w:spacing w:line="360" w:lineRule="auto"/>
              <w:jc w:val="center"/>
              <w:rPr>
                <w:rFonts w:ascii="宋体" w:hAnsi="宋体" w:cs="宋体"/>
                <w:color w:val="000000"/>
                <w:kern w:val="0"/>
                <w:szCs w:val="21"/>
              </w:rPr>
            </w:pPr>
          </w:p>
        </w:tc>
      </w:tr>
      <w:tr w14:paraId="19C6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1C0E7A2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23F150D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07DF6D8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427*427*220</w:t>
            </w:r>
          </w:p>
        </w:tc>
        <w:tc>
          <w:tcPr>
            <w:tcW w:w="773" w:type="dxa"/>
            <w:tcBorders>
              <w:tl2br w:val="nil"/>
              <w:tr2bl w:val="nil"/>
            </w:tcBorders>
            <w:noWrap/>
            <w:vAlign w:val="center"/>
          </w:tcPr>
          <w:p w14:paraId="71DB1A6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599C4E3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460</w:t>
            </w:r>
          </w:p>
        </w:tc>
        <w:tc>
          <w:tcPr>
            <w:tcW w:w="1676" w:type="dxa"/>
            <w:tcBorders>
              <w:tl2br w:val="nil"/>
              <w:tr2bl w:val="nil"/>
            </w:tcBorders>
            <w:noWrap/>
            <w:vAlign w:val="center"/>
          </w:tcPr>
          <w:p w14:paraId="1DCE7AF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797</w:t>
            </w:r>
          </w:p>
        </w:tc>
        <w:tc>
          <w:tcPr>
            <w:tcW w:w="1676" w:type="dxa"/>
            <w:tcBorders>
              <w:tl2br w:val="nil"/>
              <w:tr2bl w:val="nil"/>
            </w:tcBorders>
            <w:noWrap/>
            <w:vAlign w:val="center"/>
          </w:tcPr>
          <w:p w14:paraId="16A1B127">
            <w:pPr>
              <w:widowControl/>
              <w:spacing w:line="360" w:lineRule="auto"/>
              <w:jc w:val="center"/>
              <w:rPr>
                <w:rFonts w:ascii="宋体" w:hAnsi="宋体" w:cs="宋体"/>
                <w:color w:val="000000"/>
                <w:kern w:val="0"/>
                <w:szCs w:val="21"/>
              </w:rPr>
            </w:pPr>
          </w:p>
        </w:tc>
      </w:tr>
      <w:tr w14:paraId="47A0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2A18CD7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6BA8039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614DF53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1086*509*69</w:t>
            </w:r>
          </w:p>
        </w:tc>
        <w:tc>
          <w:tcPr>
            <w:tcW w:w="773" w:type="dxa"/>
            <w:tcBorders>
              <w:tl2br w:val="nil"/>
              <w:tr2bl w:val="nil"/>
            </w:tcBorders>
            <w:noWrap/>
            <w:vAlign w:val="center"/>
          </w:tcPr>
          <w:p w14:paraId="5B1446E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039B215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w:t>
            </w:r>
          </w:p>
        </w:tc>
        <w:tc>
          <w:tcPr>
            <w:tcW w:w="1676" w:type="dxa"/>
            <w:tcBorders>
              <w:tl2br w:val="nil"/>
              <w:tr2bl w:val="nil"/>
            </w:tcBorders>
            <w:noWrap/>
            <w:vAlign w:val="center"/>
          </w:tcPr>
          <w:p w14:paraId="6B5C622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1230</w:t>
            </w:r>
          </w:p>
        </w:tc>
        <w:tc>
          <w:tcPr>
            <w:tcW w:w="1676" w:type="dxa"/>
            <w:tcBorders>
              <w:tl2br w:val="nil"/>
              <w:tr2bl w:val="nil"/>
            </w:tcBorders>
            <w:noWrap/>
            <w:vAlign w:val="center"/>
          </w:tcPr>
          <w:p w14:paraId="50E37CA8">
            <w:pPr>
              <w:widowControl/>
              <w:spacing w:line="360" w:lineRule="auto"/>
              <w:jc w:val="center"/>
              <w:rPr>
                <w:rFonts w:ascii="宋体" w:hAnsi="宋体" w:cs="宋体"/>
                <w:color w:val="000000"/>
                <w:kern w:val="0"/>
                <w:szCs w:val="21"/>
              </w:rPr>
            </w:pPr>
          </w:p>
        </w:tc>
      </w:tr>
      <w:tr w14:paraId="2E7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41FCB7E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2994085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7CCCC98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1171*504*69</w:t>
            </w:r>
          </w:p>
        </w:tc>
        <w:tc>
          <w:tcPr>
            <w:tcW w:w="773" w:type="dxa"/>
            <w:tcBorders>
              <w:tl2br w:val="nil"/>
              <w:tr2bl w:val="nil"/>
            </w:tcBorders>
            <w:noWrap/>
            <w:vAlign w:val="center"/>
          </w:tcPr>
          <w:p w14:paraId="0276383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7125728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w:t>
            </w:r>
          </w:p>
        </w:tc>
        <w:tc>
          <w:tcPr>
            <w:tcW w:w="1676" w:type="dxa"/>
            <w:tcBorders>
              <w:tl2br w:val="nil"/>
              <w:tr2bl w:val="nil"/>
            </w:tcBorders>
            <w:noWrap/>
            <w:vAlign w:val="center"/>
          </w:tcPr>
          <w:p w14:paraId="0BBB9A4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1230</w:t>
            </w:r>
          </w:p>
        </w:tc>
        <w:tc>
          <w:tcPr>
            <w:tcW w:w="1676" w:type="dxa"/>
            <w:tcBorders>
              <w:tl2br w:val="nil"/>
              <w:tr2bl w:val="nil"/>
            </w:tcBorders>
            <w:noWrap/>
            <w:vAlign w:val="center"/>
          </w:tcPr>
          <w:p w14:paraId="469DA581">
            <w:pPr>
              <w:widowControl/>
              <w:spacing w:line="360" w:lineRule="auto"/>
              <w:jc w:val="center"/>
              <w:rPr>
                <w:rFonts w:ascii="宋体" w:hAnsi="宋体" w:cs="宋体"/>
                <w:color w:val="000000"/>
                <w:kern w:val="0"/>
                <w:szCs w:val="21"/>
              </w:rPr>
            </w:pPr>
          </w:p>
        </w:tc>
      </w:tr>
      <w:tr w14:paraId="6CE4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2D6E248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2C04576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108163B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1046*506*69</w:t>
            </w:r>
          </w:p>
        </w:tc>
        <w:tc>
          <w:tcPr>
            <w:tcW w:w="773" w:type="dxa"/>
            <w:tcBorders>
              <w:tl2br w:val="nil"/>
              <w:tr2bl w:val="nil"/>
            </w:tcBorders>
            <w:noWrap/>
            <w:vAlign w:val="center"/>
          </w:tcPr>
          <w:p w14:paraId="01DF20F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03C9439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w:t>
            </w:r>
          </w:p>
        </w:tc>
        <w:tc>
          <w:tcPr>
            <w:tcW w:w="1676" w:type="dxa"/>
            <w:tcBorders>
              <w:tl2br w:val="nil"/>
              <w:tr2bl w:val="nil"/>
            </w:tcBorders>
            <w:noWrap/>
            <w:vAlign w:val="center"/>
          </w:tcPr>
          <w:p w14:paraId="348A024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1230</w:t>
            </w:r>
          </w:p>
        </w:tc>
        <w:tc>
          <w:tcPr>
            <w:tcW w:w="1676" w:type="dxa"/>
            <w:tcBorders>
              <w:tl2br w:val="nil"/>
              <w:tr2bl w:val="nil"/>
            </w:tcBorders>
            <w:noWrap/>
            <w:vAlign w:val="center"/>
          </w:tcPr>
          <w:p w14:paraId="27C71A4E">
            <w:pPr>
              <w:widowControl/>
              <w:spacing w:line="360" w:lineRule="auto"/>
              <w:jc w:val="center"/>
              <w:rPr>
                <w:rFonts w:ascii="宋体" w:hAnsi="宋体" w:cs="宋体"/>
                <w:color w:val="000000"/>
                <w:kern w:val="0"/>
                <w:szCs w:val="21"/>
              </w:rPr>
            </w:pPr>
          </w:p>
        </w:tc>
      </w:tr>
      <w:tr w14:paraId="2419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0F58493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5B03A2E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785DDC7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1046*450*69</w:t>
            </w:r>
          </w:p>
        </w:tc>
        <w:tc>
          <w:tcPr>
            <w:tcW w:w="773" w:type="dxa"/>
            <w:tcBorders>
              <w:tl2br w:val="nil"/>
              <w:tr2bl w:val="nil"/>
            </w:tcBorders>
            <w:noWrap/>
            <w:vAlign w:val="center"/>
          </w:tcPr>
          <w:p w14:paraId="310B18B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05ED29A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w:t>
            </w:r>
          </w:p>
        </w:tc>
        <w:tc>
          <w:tcPr>
            <w:tcW w:w="1676" w:type="dxa"/>
            <w:tcBorders>
              <w:tl2br w:val="nil"/>
              <w:tr2bl w:val="nil"/>
            </w:tcBorders>
            <w:noWrap/>
            <w:vAlign w:val="center"/>
          </w:tcPr>
          <w:p w14:paraId="15BC2C3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1230</w:t>
            </w:r>
          </w:p>
        </w:tc>
        <w:tc>
          <w:tcPr>
            <w:tcW w:w="1676" w:type="dxa"/>
            <w:tcBorders>
              <w:tl2br w:val="nil"/>
              <w:tr2bl w:val="nil"/>
            </w:tcBorders>
            <w:noWrap/>
            <w:vAlign w:val="center"/>
          </w:tcPr>
          <w:p w14:paraId="5B492F82">
            <w:pPr>
              <w:widowControl/>
              <w:spacing w:line="360" w:lineRule="auto"/>
              <w:jc w:val="center"/>
              <w:rPr>
                <w:rFonts w:ascii="宋体" w:hAnsi="宋体" w:cs="宋体"/>
                <w:color w:val="000000"/>
                <w:kern w:val="0"/>
                <w:szCs w:val="21"/>
              </w:rPr>
            </w:pPr>
          </w:p>
        </w:tc>
      </w:tr>
      <w:tr w14:paraId="471C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328AC4E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2195F05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55DF00D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546*601*69</w:t>
            </w:r>
          </w:p>
        </w:tc>
        <w:tc>
          <w:tcPr>
            <w:tcW w:w="773" w:type="dxa"/>
            <w:tcBorders>
              <w:tl2br w:val="nil"/>
              <w:tr2bl w:val="nil"/>
            </w:tcBorders>
            <w:noWrap/>
            <w:vAlign w:val="center"/>
          </w:tcPr>
          <w:p w14:paraId="052DFDC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16BF881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480</w:t>
            </w:r>
          </w:p>
        </w:tc>
        <w:tc>
          <w:tcPr>
            <w:tcW w:w="1676" w:type="dxa"/>
            <w:tcBorders>
              <w:tl2br w:val="nil"/>
              <w:tr2bl w:val="nil"/>
            </w:tcBorders>
            <w:noWrap/>
            <w:vAlign w:val="center"/>
          </w:tcPr>
          <w:p w14:paraId="440ADF7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830</w:t>
            </w:r>
          </w:p>
        </w:tc>
        <w:tc>
          <w:tcPr>
            <w:tcW w:w="1676" w:type="dxa"/>
            <w:tcBorders>
              <w:tl2br w:val="nil"/>
              <w:tr2bl w:val="nil"/>
            </w:tcBorders>
            <w:noWrap/>
            <w:vAlign w:val="center"/>
          </w:tcPr>
          <w:p w14:paraId="5E27BBFC">
            <w:pPr>
              <w:widowControl/>
              <w:spacing w:line="360" w:lineRule="auto"/>
              <w:jc w:val="center"/>
              <w:rPr>
                <w:rFonts w:ascii="宋体" w:hAnsi="宋体" w:cs="宋体"/>
                <w:color w:val="000000"/>
                <w:kern w:val="0"/>
                <w:szCs w:val="21"/>
              </w:rPr>
            </w:pPr>
          </w:p>
        </w:tc>
      </w:tr>
      <w:tr w14:paraId="6B08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1FC8976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18C7164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3B41440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1081*576*69</w:t>
            </w:r>
          </w:p>
        </w:tc>
        <w:tc>
          <w:tcPr>
            <w:tcW w:w="773" w:type="dxa"/>
            <w:tcBorders>
              <w:tl2br w:val="nil"/>
              <w:tr2bl w:val="nil"/>
            </w:tcBorders>
            <w:noWrap/>
            <w:vAlign w:val="center"/>
          </w:tcPr>
          <w:p w14:paraId="45C9303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601AF6C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w:t>
            </w:r>
          </w:p>
        </w:tc>
        <w:tc>
          <w:tcPr>
            <w:tcW w:w="1676" w:type="dxa"/>
            <w:tcBorders>
              <w:tl2br w:val="nil"/>
              <w:tr2bl w:val="nil"/>
            </w:tcBorders>
            <w:noWrap/>
            <w:vAlign w:val="center"/>
          </w:tcPr>
          <w:p w14:paraId="72D8DFE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1230</w:t>
            </w:r>
          </w:p>
        </w:tc>
        <w:tc>
          <w:tcPr>
            <w:tcW w:w="1676" w:type="dxa"/>
            <w:tcBorders>
              <w:tl2br w:val="nil"/>
              <w:tr2bl w:val="nil"/>
            </w:tcBorders>
            <w:noWrap/>
            <w:vAlign w:val="center"/>
          </w:tcPr>
          <w:p w14:paraId="689D33A4">
            <w:pPr>
              <w:widowControl/>
              <w:spacing w:line="360" w:lineRule="auto"/>
              <w:jc w:val="center"/>
              <w:rPr>
                <w:rFonts w:ascii="宋体" w:hAnsi="宋体" w:cs="宋体"/>
                <w:color w:val="000000"/>
                <w:kern w:val="0"/>
                <w:szCs w:val="21"/>
              </w:rPr>
            </w:pPr>
          </w:p>
        </w:tc>
      </w:tr>
      <w:tr w14:paraId="1E43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2F412CD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2CA40E8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4AE580E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1081*490*69</w:t>
            </w:r>
          </w:p>
        </w:tc>
        <w:tc>
          <w:tcPr>
            <w:tcW w:w="773" w:type="dxa"/>
            <w:tcBorders>
              <w:tl2br w:val="nil"/>
              <w:tr2bl w:val="nil"/>
            </w:tcBorders>
            <w:noWrap/>
            <w:vAlign w:val="center"/>
          </w:tcPr>
          <w:p w14:paraId="09D3708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4D5DC9D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w:t>
            </w:r>
          </w:p>
        </w:tc>
        <w:tc>
          <w:tcPr>
            <w:tcW w:w="1676" w:type="dxa"/>
            <w:tcBorders>
              <w:tl2br w:val="nil"/>
              <w:tr2bl w:val="nil"/>
            </w:tcBorders>
            <w:noWrap/>
            <w:vAlign w:val="center"/>
          </w:tcPr>
          <w:p w14:paraId="598DA24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1230</w:t>
            </w:r>
          </w:p>
        </w:tc>
        <w:tc>
          <w:tcPr>
            <w:tcW w:w="1676" w:type="dxa"/>
            <w:tcBorders>
              <w:tl2br w:val="nil"/>
              <w:tr2bl w:val="nil"/>
            </w:tcBorders>
            <w:noWrap/>
            <w:vAlign w:val="center"/>
          </w:tcPr>
          <w:p w14:paraId="6470AA61">
            <w:pPr>
              <w:widowControl/>
              <w:spacing w:line="360" w:lineRule="auto"/>
              <w:jc w:val="center"/>
              <w:rPr>
                <w:rFonts w:ascii="宋体" w:hAnsi="宋体" w:cs="宋体"/>
                <w:color w:val="000000"/>
                <w:kern w:val="0"/>
                <w:szCs w:val="21"/>
              </w:rPr>
            </w:pPr>
          </w:p>
        </w:tc>
      </w:tr>
      <w:tr w14:paraId="174B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4A29879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2D5C178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327DC1F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761*261*69</w:t>
            </w:r>
          </w:p>
        </w:tc>
        <w:tc>
          <w:tcPr>
            <w:tcW w:w="773" w:type="dxa"/>
            <w:tcBorders>
              <w:tl2br w:val="nil"/>
              <w:tr2bl w:val="nil"/>
            </w:tcBorders>
            <w:noWrap/>
            <w:vAlign w:val="center"/>
          </w:tcPr>
          <w:p w14:paraId="2D83EC2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2D589CD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390</w:t>
            </w:r>
          </w:p>
        </w:tc>
        <w:tc>
          <w:tcPr>
            <w:tcW w:w="1676" w:type="dxa"/>
            <w:tcBorders>
              <w:tl2br w:val="nil"/>
              <w:tr2bl w:val="nil"/>
            </w:tcBorders>
            <w:noWrap/>
            <w:vAlign w:val="center"/>
          </w:tcPr>
          <w:p w14:paraId="52461B1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630</w:t>
            </w:r>
          </w:p>
        </w:tc>
        <w:tc>
          <w:tcPr>
            <w:tcW w:w="1676" w:type="dxa"/>
            <w:tcBorders>
              <w:tl2br w:val="nil"/>
              <w:tr2bl w:val="nil"/>
            </w:tcBorders>
            <w:noWrap/>
            <w:vAlign w:val="center"/>
          </w:tcPr>
          <w:p w14:paraId="4241345F">
            <w:pPr>
              <w:widowControl/>
              <w:spacing w:line="360" w:lineRule="auto"/>
              <w:jc w:val="center"/>
              <w:rPr>
                <w:rFonts w:ascii="宋体" w:hAnsi="宋体" w:cs="宋体"/>
                <w:color w:val="000000"/>
                <w:kern w:val="0"/>
                <w:szCs w:val="21"/>
              </w:rPr>
            </w:pPr>
          </w:p>
        </w:tc>
      </w:tr>
      <w:tr w14:paraId="1CC5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24A86BF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2DFF4C4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10B326D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976*576*69</w:t>
            </w:r>
          </w:p>
        </w:tc>
        <w:tc>
          <w:tcPr>
            <w:tcW w:w="773" w:type="dxa"/>
            <w:tcBorders>
              <w:tl2br w:val="nil"/>
              <w:tr2bl w:val="nil"/>
            </w:tcBorders>
            <w:noWrap/>
            <w:vAlign w:val="center"/>
          </w:tcPr>
          <w:p w14:paraId="3C5C2F0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2DB25A8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w:t>
            </w:r>
          </w:p>
        </w:tc>
        <w:tc>
          <w:tcPr>
            <w:tcW w:w="1676" w:type="dxa"/>
            <w:tcBorders>
              <w:tl2br w:val="nil"/>
              <w:tr2bl w:val="nil"/>
            </w:tcBorders>
            <w:noWrap/>
            <w:vAlign w:val="center"/>
          </w:tcPr>
          <w:p w14:paraId="1A05F77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1230</w:t>
            </w:r>
          </w:p>
        </w:tc>
        <w:tc>
          <w:tcPr>
            <w:tcW w:w="1676" w:type="dxa"/>
            <w:tcBorders>
              <w:tl2br w:val="nil"/>
              <w:tr2bl w:val="nil"/>
            </w:tcBorders>
            <w:noWrap/>
            <w:vAlign w:val="center"/>
          </w:tcPr>
          <w:p w14:paraId="09352D74">
            <w:pPr>
              <w:widowControl/>
              <w:spacing w:line="360" w:lineRule="auto"/>
              <w:jc w:val="center"/>
              <w:rPr>
                <w:rFonts w:ascii="宋体" w:hAnsi="宋体" w:cs="宋体"/>
                <w:color w:val="000000"/>
                <w:kern w:val="0"/>
                <w:szCs w:val="21"/>
              </w:rPr>
            </w:pPr>
          </w:p>
        </w:tc>
      </w:tr>
      <w:tr w14:paraId="282E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313C2F5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02664FF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19DA839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996*576*69</w:t>
            </w:r>
          </w:p>
        </w:tc>
        <w:tc>
          <w:tcPr>
            <w:tcW w:w="773" w:type="dxa"/>
            <w:tcBorders>
              <w:tl2br w:val="nil"/>
              <w:tr2bl w:val="nil"/>
            </w:tcBorders>
            <w:noWrap/>
            <w:vAlign w:val="center"/>
          </w:tcPr>
          <w:p w14:paraId="6906081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6E38C85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w:t>
            </w:r>
          </w:p>
        </w:tc>
        <w:tc>
          <w:tcPr>
            <w:tcW w:w="1676" w:type="dxa"/>
            <w:tcBorders>
              <w:tl2br w:val="nil"/>
              <w:tr2bl w:val="nil"/>
            </w:tcBorders>
            <w:noWrap/>
            <w:vAlign w:val="center"/>
          </w:tcPr>
          <w:p w14:paraId="793384F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1230</w:t>
            </w:r>
          </w:p>
        </w:tc>
        <w:tc>
          <w:tcPr>
            <w:tcW w:w="1676" w:type="dxa"/>
            <w:tcBorders>
              <w:tl2br w:val="nil"/>
              <w:tr2bl w:val="nil"/>
            </w:tcBorders>
            <w:noWrap/>
            <w:vAlign w:val="center"/>
          </w:tcPr>
          <w:p w14:paraId="5806372C">
            <w:pPr>
              <w:widowControl/>
              <w:spacing w:line="360" w:lineRule="auto"/>
              <w:jc w:val="center"/>
              <w:rPr>
                <w:rFonts w:ascii="宋体" w:hAnsi="宋体" w:cs="宋体"/>
                <w:color w:val="000000"/>
                <w:kern w:val="0"/>
                <w:szCs w:val="21"/>
              </w:rPr>
            </w:pPr>
          </w:p>
        </w:tc>
      </w:tr>
      <w:tr w14:paraId="0987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04A8596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4937451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655A8E4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1215*576*69</w:t>
            </w:r>
          </w:p>
        </w:tc>
        <w:tc>
          <w:tcPr>
            <w:tcW w:w="773" w:type="dxa"/>
            <w:tcBorders>
              <w:tl2br w:val="nil"/>
              <w:tr2bl w:val="nil"/>
            </w:tcBorders>
            <w:noWrap/>
            <w:vAlign w:val="center"/>
          </w:tcPr>
          <w:p w14:paraId="327B145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2A6843B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850</w:t>
            </w:r>
          </w:p>
        </w:tc>
        <w:tc>
          <w:tcPr>
            <w:tcW w:w="1676" w:type="dxa"/>
            <w:tcBorders>
              <w:tl2br w:val="nil"/>
              <w:tr2bl w:val="nil"/>
            </w:tcBorders>
            <w:noWrap/>
            <w:vAlign w:val="center"/>
          </w:tcPr>
          <w:p w14:paraId="5643482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1470</w:t>
            </w:r>
          </w:p>
        </w:tc>
        <w:tc>
          <w:tcPr>
            <w:tcW w:w="1676" w:type="dxa"/>
            <w:tcBorders>
              <w:tl2br w:val="nil"/>
              <w:tr2bl w:val="nil"/>
            </w:tcBorders>
            <w:noWrap/>
            <w:vAlign w:val="center"/>
          </w:tcPr>
          <w:p w14:paraId="499977D2">
            <w:pPr>
              <w:widowControl/>
              <w:spacing w:line="360" w:lineRule="auto"/>
              <w:jc w:val="center"/>
              <w:rPr>
                <w:rFonts w:ascii="宋体" w:hAnsi="宋体" w:cs="宋体"/>
                <w:color w:val="000000"/>
                <w:kern w:val="0"/>
                <w:szCs w:val="21"/>
              </w:rPr>
            </w:pPr>
          </w:p>
        </w:tc>
      </w:tr>
      <w:tr w14:paraId="607C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0ADA273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54F64CC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60E1046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1200*494*69</w:t>
            </w:r>
          </w:p>
        </w:tc>
        <w:tc>
          <w:tcPr>
            <w:tcW w:w="773" w:type="dxa"/>
            <w:tcBorders>
              <w:tl2br w:val="nil"/>
              <w:tr2bl w:val="nil"/>
            </w:tcBorders>
            <w:noWrap/>
            <w:vAlign w:val="center"/>
          </w:tcPr>
          <w:p w14:paraId="6A24B35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4EA3822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830</w:t>
            </w:r>
          </w:p>
        </w:tc>
        <w:tc>
          <w:tcPr>
            <w:tcW w:w="1676" w:type="dxa"/>
            <w:tcBorders>
              <w:tl2br w:val="nil"/>
              <w:tr2bl w:val="nil"/>
            </w:tcBorders>
            <w:noWrap/>
            <w:vAlign w:val="center"/>
          </w:tcPr>
          <w:p w14:paraId="26C9C74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1420</w:t>
            </w:r>
          </w:p>
        </w:tc>
        <w:tc>
          <w:tcPr>
            <w:tcW w:w="1676" w:type="dxa"/>
            <w:tcBorders>
              <w:tl2br w:val="nil"/>
              <w:tr2bl w:val="nil"/>
            </w:tcBorders>
            <w:noWrap/>
            <w:vAlign w:val="center"/>
          </w:tcPr>
          <w:p w14:paraId="2CF9AC05">
            <w:pPr>
              <w:widowControl/>
              <w:spacing w:line="360" w:lineRule="auto"/>
              <w:jc w:val="center"/>
              <w:rPr>
                <w:rFonts w:ascii="宋体" w:hAnsi="宋体" w:cs="宋体"/>
                <w:color w:val="000000"/>
                <w:kern w:val="0"/>
                <w:szCs w:val="21"/>
              </w:rPr>
            </w:pPr>
          </w:p>
        </w:tc>
      </w:tr>
      <w:tr w14:paraId="7DE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4E2D56E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3" w:type="dxa"/>
            <w:tcBorders>
              <w:tl2br w:val="nil"/>
              <w:tr2bl w:val="nil"/>
            </w:tcBorders>
            <w:noWrap/>
            <w:vAlign w:val="center"/>
          </w:tcPr>
          <w:p w14:paraId="1402EA5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36" w:type="dxa"/>
            <w:tcBorders>
              <w:tl2br w:val="nil"/>
              <w:tr2bl w:val="nil"/>
            </w:tcBorders>
            <w:noWrap/>
            <w:vAlign w:val="center"/>
          </w:tcPr>
          <w:p w14:paraId="1FA10E8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751*350*69</w:t>
            </w:r>
          </w:p>
        </w:tc>
        <w:tc>
          <w:tcPr>
            <w:tcW w:w="773" w:type="dxa"/>
            <w:tcBorders>
              <w:tl2br w:val="nil"/>
              <w:tr2bl w:val="nil"/>
            </w:tcBorders>
            <w:noWrap/>
            <w:vAlign w:val="center"/>
          </w:tcPr>
          <w:p w14:paraId="3C3DC6F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7" w:type="dxa"/>
            <w:tcBorders>
              <w:tl2br w:val="nil"/>
              <w:tr2bl w:val="nil"/>
            </w:tcBorders>
            <w:noWrap/>
            <w:vAlign w:val="center"/>
          </w:tcPr>
          <w:p w14:paraId="5E3C588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480</w:t>
            </w:r>
          </w:p>
        </w:tc>
        <w:tc>
          <w:tcPr>
            <w:tcW w:w="1676" w:type="dxa"/>
            <w:tcBorders>
              <w:tl2br w:val="nil"/>
              <w:tr2bl w:val="nil"/>
            </w:tcBorders>
            <w:noWrap/>
            <w:vAlign w:val="center"/>
          </w:tcPr>
          <w:p w14:paraId="2502689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830</w:t>
            </w:r>
          </w:p>
        </w:tc>
        <w:tc>
          <w:tcPr>
            <w:tcW w:w="1676" w:type="dxa"/>
            <w:tcBorders>
              <w:tl2br w:val="nil"/>
              <w:tr2bl w:val="nil"/>
            </w:tcBorders>
            <w:noWrap/>
            <w:vAlign w:val="center"/>
          </w:tcPr>
          <w:p w14:paraId="3E283EF0">
            <w:pPr>
              <w:widowControl/>
              <w:spacing w:line="360" w:lineRule="auto"/>
              <w:jc w:val="center"/>
              <w:rPr>
                <w:rFonts w:ascii="宋体" w:hAnsi="宋体" w:cs="宋体"/>
                <w:color w:val="000000"/>
                <w:kern w:val="0"/>
                <w:szCs w:val="21"/>
              </w:rPr>
            </w:pPr>
          </w:p>
        </w:tc>
      </w:tr>
    </w:tbl>
    <w:p w14:paraId="3773E742">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baseline"/>
        <w:rPr>
          <w:rFonts w:hAnsi="宋体" w:cs="宋体"/>
          <w:b/>
          <w:bCs/>
          <w:sz w:val="21"/>
          <w:szCs w:val="21"/>
        </w:rPr>
      </w:pPr>
      <w:r>
        <w:rPr>
          <w:rFonts w:hint="eastAsia" w:hAnsi="宋体" w:cs="宋体"/>
          <w:b/>
          <w:bCs/>
          <w:color w:val="auto"/>
          <w:sz w:val="21"/>
          <w:szCs w:val="21"/>
          <w:highlight w:val="yellow"/>
          <w:lang w:eastAsia="zh-CN"/>
        </w:rPr>
        <w:t>★</w:t>
      </w:r>
      <w:r>
        <w:rPr>
          <w:rFonts w:hint="eastAsia" w:hAnsi="宋体" w:cs="宋体"/>
          <w:b/>
          <w:bCs/>
          <w:color w:val="auto"/>
          <w:sz w:val="21"/>
          <w:szCs w:val="21"/>
          <w:highlight w:val="yellow"/>
        </w:rPr>
        <w:t>7、检验科实验室 高效过滤器限价表</w:t>
      </w:r>
      <w:r>
        <w:rPr>
          <w:rFonts w:hint="eastAsia" w:hAnsi="宋体" w:cs="宋体"/>
          <w:b/>
          <w:bCs/>
          <w:color w:val="FF0000"/>
          <w:sz w:val="21"/>
          <w:szCs w:val="21"/>
          <w:highlight w:val="yellow"/>
          <w:lang w:eastAsia="zh-CN"/>
        </w:rPr>
        <w:t>【投标人</w:t>
      </w:r>
      <w:r>
        <w:rPr>
          <w:rFonts w:hint="eastAsia" w:hAnsi="宋体" w:cs="宋体"/>
          <w:b/>
          <w:bCs/>
          <w:color w:val="FF0000"/>
          <w:sz w:val="21"/>
          <w:szCs w:val="21"/>
          <w:highlight w:val="yellow"/>
          <w:lang w:val="en-US" w:eastAsia="zh-CN"/>
        </w:rPr>
        <w:t>需</w:t>
      </w:r>
      <w:r>
        <w:rPr>
          <w:rFonts w:hint="eastAsia" w:hAnsi="宋体" w:cs="宋体"/>
          <w:b/>
          <w:bCs/>
          <w:color w:val="FF0000"/>
          <w:sz w:val="21"/>
          <w:szCs w:val="21"/>
          <w:highlight w:val="yellow"/>
          <w:lang w:eastAsia="zh-CN"/>
        </w:rPr>
        <w:t>提供承诺函（</w:t>
      </w:r>
      <w:r>
        <w:rPr>
          <w:rFonts w:hint="eastAsia" w:hAnsi="宋体" w:cs="宋体"/>
          <w:b/>
          <w:bCs/>
          <w:color w:val="FF0000"/>
          <w:sz w:val="21"/>
          <w:szCs w:val="21"/>
          <w:highlight w:val="yellow"/>
          <w:lang w:val="en-US" w:eastAsia="zh-CN"/>
        </w:rPr>
        <w:t>格式自拟</w:t>
      </w:r>
      <w:r>
        <w:rPr>
          <w:rFonts w:hint="eastAsia" w:hAnsi="宋体" w:cs="宋体"/>
          <w:b/>
          <w:bCs/>
          <w:color w:val="FF0000"/>
          <w:sz w:val="21"/>
          <w:szCs w:val="21"/>
          <w:highlight w:val="yellow"/>
          <w:lang w:eastAsia="zh-CN"/>
        </w:rPr>
        <w:t>），</w:t>
      </w:r>
      <w:r>
        <w:rPr>
          <w:rFonts w:hint="eastAsia" w:hAnsi="宋体" w:cs="宋体"/>
          <w:b/>
          <w:bCs/>
          <w:color w:val="FF0000"/>
          <w:sz w:val="21"/>
          <w:szCs w:val="21"/>
          <w:highlight w:val="yellow"/>
        </w:rPr>
        <w:t>承诺提供</w:t>
      </w:r>
      <w:r>
        <w:rPr>
          <w:rFonts w:hint="eastAsia" w:hAnsi="宋体" w:cs="宋体"/>
          <w:b/>
          <w:bCs/>
          <w:color w:val="FF0000"/>
          <w:sz w:val="21"/>
          <w:szCs w:val="21"/>
          <w:highlight w:val="yellow"/>
          <w:lang w:val="en-US" w:eastAsia="zh-CN"/>
        </w:rPr>
        <w:t>国产品牌和进口品牌的</w:t>
      </w:r>
      <w:r>
        <w:rPr>
          <w:rFonts w:hint="eastAsia" w:hAnsi="宋体" w:cs="宋体"/>
          <w:b/>
          <w:bCs/>
          <w:color w:val="FF0000"/>
          <w:sz w:val="21"/>
          <w:szCs w:val="21"/>
          <w:highlight w:val="yellow"/>
        </w:rPr>
        <w:t>产品单价不高于</w:t>
      </w:r>
      <w:r>
        <w:rPr>
          <w:rFonts w:hint="eastAsia" w:hAnsi="宋体" w:cs="宋体"/>
          <w:b/>
          <w:bCs/>
          <w:color w:val="FF0000"/>
          <w:sz w:val="21"/>
          <w:szCs w:val="21"/>
          <w:highlight w:val="yellow"/>
          <w:lang w:eastAsia="zh-CN"/>
        </w:rPr>
        <w:t>“检验科实验室 高效过滤器限价表”</w:t>
      </w:r>
      <w:r>
        <w:rPr>
          <w:rFonts w:hint="eastAsia" w:hAnsi="宋体" w:cs="宋体"/>
          <w:b/>
          <w:bCs/>
          <w:color w:val="FF0000"/>
          <w:sz w:val="21"/>
          <w:szCs w:val="21"/>
          <w:highlight w:val="yellow"/>
          <w:lang w:val="en-US" w:eastAsia="zh-CN"/>
        </w:rPr>
        <w:t>中的</w:t>
      </w:r>
      <w:r>
        <w:rPr>
          <w:rFonts w:hint="eastAsia" w:hAnsi="宋体" w:cs="宋体"/>
          <w:b/>
          <w:bCs/>
          <w:color w:val="FF0000"/>
          <w:sz w:val="21"/>
          <w:szCs w:val="21"/>
          <w:highlight w:val="yellow"/>
        </w:rPr>
        <w:t>单价最高限价</w:t>
      </w:r>
      <w:r>
        <w:rPr>
          <w:rFonts w:hint="eastAsia" w:hAnsi="宋体" w:cs="宋体"/>
          <w:b/>
          <w:bCs/>
          <w:color w:val="FF0000"/>
          <w:sz w:val="21"/>
          <w:szCs w:val="21"/>
          <w:highlight w:val="yellow"/>
          <w:lang w:eastAsia="zh-CN"/>
        </w:rPr>
        <w:t>，未提供承诺或承诺内容不满足要求的，做投标无效处理；该费用不包含在投标总价中】</w:t>
      </w:r>
      <w:r>
        <w:rPr>
          <w:rFonts w:hint="eastAsia" w:hAnsi="宋体" w:cs="宋体"/>
          <w:b/>
          <w:bCs/>
          <w:color w:val="FF0000"/>
          <w:sz w:val="21"/>
          <w:szCs w:val="21"/>
          <w:highlight w:val="yellow"/>
        </w:rPr>
        <w:t>：</w:t>
      </w:r>
    </w:p>
    <w:tbl>
      <w:tblPr>
        <w:tblStyle w:val="42"/>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77"/>
        <w:gridCol w:w="1718"/>
        <w:gridCol w:w="777"/>
        <w:gridCol w:w="1419"/>
        <w:gridCol w:w="1622"/>
        <w:gridCol w:w="1705"/>
      </w:tblGrid>
      <w:tr w14:paraId="042E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vMerge w:val="restart"/>
            <w:tcBorders>
              <w:tl2br w:val="nil"/>
              <w:tr2bl w:val="nil"/>
            </w:tcBorders>
            <w:noWrap/>
            <w:vAlign w:val="center"/>
          </w:tcPr>
          <w:p w14:paraId="3BBC7035">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777" w:type="dxa"/>
            <w:vMerge w:val="restart"/>
            <w:tcBorders>
              <w:tl2br w:val="nil"/>
              <w:tr2bl w:val="nil"/>
            </w:tcBorders>
            <w:noWrap/>
            <w:vAlign w:val="center"/>
          </w:tcPr>
          <w:p w14:paraId="49758AA9">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效率</w:t>
            </w:r>
          </w:p>
        </w:tc>
        <w:tc>
          <w:tcPr>
            <w:tcW w:w="1718" w:type="dxa"/>
            <w:vMerge w:val="restart"/>
            <w:tcBorders>
              <w:tl2br w:val="nil"/>
              <w:tr2bl w:val="nil"/>
            </w:tcBorders>
            <w:noWrap/>
            <w:vAlign w:val="center"/>
          </w:tcPr>
          <w:p w14:paraId="1EFDF470">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规格型号（mm）</w:t>
            </w:r>
          </w:p>
        </w:tc>
        <w:tc>
          <w:tcPr>
            <w:tcW w:w="777" w:type="dxa"/>
            <w:vMerge w:val="restart"/>
            <w:tcBorders>
              <w:tl2br w:val="nil"/>
              <w:tr2bl w:val="nil"/>
            </w:tcBorders>
            <w:noWrap/>
            <w:vAlign w:val="center"/>
          </w:tcPr>
          <w:p w14:paraId="3D0DA214">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419" w:type="dxa"/>
            <w:tcBorders>
              <w:tl2br w:val="nil"/>
              <w:tr2bl w:val="nil"/>
            </w:tcBorders>
            <w:noWrap/>
            <w:vAlign w:val="center"/>
          </w:tcPr>
          <w:p w14:paraId="01D5BFB5">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国产品牌</w:t>
            </w:r>
          </w:p>
        </w:tc>
        <w:tc>
          <w:tcPr>
            <w:tcW w:w="1622" w:type="dxa"/>
            <w:tcBorders>
              <w:tl2br w:val="nil"/>
              <w:tr2bl w:val="nil"/>
            </w:tcBorders>
            <w:noWrap/>
            <w:vAlign w:val="center"/>
          </w:tcPr>
          <w:p w14:paraId="094CC606">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进口品牌</w:t>
            </w:r>
          </w:p>
        </w:tc>
        <w:tc>
          <w:tcPr>
            <w:tcW w:w="1705" w:type="dxa"/>
            <w:vMerge w:val="restart"/>
            <w:tcBorders>
              <w:tl2br w:val="nil"/>
              <w:tr2bl w:val="nil"/>
            </w:tcBorders>
            <w:noWrap/>
            <w:vAlign w:val="center"/>
          </w:tcPr>
          <w:p w14:paraId="01D96E36">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0FD7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vMerge w:val="continue"/>
            <w:tcBorders>
              <w:tl2br w:val="nil"/>
              <w:tr2bl w:val="nil"/>
            </w:tcBorders>
            <w:noWrap/>
            <w:vAlign w:val="center"/>
          </w:tcPr>
          <w:p w14:paraId="0DCD95BB">
            <w:pPr>
              <w:widowControl/>
              <w:spacing w:line="360" w:lineRule="auto"/>
              <w:jc w:val="left"/>
              <w:rPr>
                <w:rFonts w:ascii="宋体" w:hAnsi="宋体" w:cs="宋体"/>
                <w:b/>
                <w:bCs/>
                <w:color w:val="000000"/>
                <w:kern w:val="0"/>
                <w:szCs w:val="21"/>
              </w:rPr>
            </w:pPr>
          </w:p>
        </w:tc>
        <w:tc>
          <w:tcPr>
            <w:tcW w:w="777" w:type="dxa"/>
            <w:vMerge w:val="continue"/>
            <w:tcBorders>
              <w:tl2br w:val="nil"/>
              <w:tr2bl w:val="nil"/>
            </w:tcBorders>
            <w:noWrap/>
            <w:vAlign w:val="center"/>
          </w:tcPr>
          <w:p w14:paraId="02547EA2">
            <w:pPr>
              <w:widowControl/>
              <w:spacing w:line="360" w:lineRule="auto"/>
              <w:jc w:val="left"/>
              <w:rPr>
                <w:rFonts w:ascii="宋体" w:hAnsi="宋体" w:cs="宋体"/>
                <w:b/>
                <w:bCs/>
                <w:color w:val="000000"/>
                <w:kern w:val="0"/>
                <w:szCs w:val="21"/>
              </w:rPr>
            </w:pPr>
          </w:p>
        </w:tc>
        <w:tc>
          <w:tcPr>
            <w:tcW w:w="1718" w:type="dxa"/>
            <w:vMerge w:val="continue"/>
            <w:tcBorders>
              <w:tl2br w:val="nil"/>
              <w:tr2bl w:val="nil"/>
            </w:tcBorders>
            <w:noWrap/>
            <w:vAlign w:val="center"/>
          </w:tcPr>
          <w:p w14:paraId="77212F19">
            <w:pPr>
              <w:widowControl/>
              <w:spacing w:line="360" w:lineRule="auto"/>
              <w:jc w:val="left"/>
              <w:rPr>
                <w:rFonts w:ascii="宋体" w:hAnsi="宋体" w:cs="宋体"/>
                <w:b/>
                <w:bCs/>
                <w:color w:val="000000"/>
                <w:kern w:val="0"/>
                <w:szCs w:val="21"/>
              </w:rPr>
            </w:pPr>
          </w:p>
        </w:tc>
        <w:tc>
          <w:tcPr>
            <w:tcW w:w="777" w:type="dxa"/>
            <w:vMerge w:val="continue"/>
            <w:tcBorders>
              <w:tl2br w:val="nil"/>
              <w:tr2bl w:val="nil"/>
            </w:tcBorders>
            <w:noWrap/>
            <w:vAlign w:val="center"/>
          </w:tcPr>
          <w:p w14:paraId="406F69D8">
            <w:pPr>
              <w:widowControl/>
              <w:spacing w:line="360" w:lineRule="auto"/>
              <w:jc w:val="left"/>
              <w:rPr>
                <w:rFonts w:ascii="宋体" w:hAnsi="宋体" w:cs="宋体"/>
                <w:b/>
                <w:bCs/>
                <w:color w:val="000000"/>
                <w:kern w:val="0"/>
                <w:szCs w:val="21"/>
              </w:rPr>
            </w:pPr>
          </w:p>
        </w:tc>
        <w:tc>
          <w:tcPr>
            <w:tcW w:w="1419" w:type="dxa"/>
            <w:tcBorders>
              <w:tl2br w:val="nil"/>
              <w:tr2bl w:val="nil"/>
            </w:tcBorders>
            <w:noWrap/>
            <w:vAlign w:val="center"/>
          </w:tcPr>
          <w:p w14:paraId="7B88B3AD">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单价最高限价（元）</w:t>
            </w:r>
          </w:p>
        </w:tc>
        <w:tc>
          <w:tcPr>
            <w:tcW w:w="1622" w:type="dxa"/>
            <w:tcBorders>
              <w:tl2br w:val="nil"/>
              <w:tr2bl w:val="nil"/>
            </w:tcBorders>
            <w:noWrap/>
            <w:vAlign w:val="center"/>
          </w:tcPr>
          <w:p w14:paraId="0C2210E1">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单价最高限价（元）</w:t>
            </w:r>
          </w:p>
        </w:tc>
        <w:tc>
          <w:tcPr>
            <w:tcW w:w="1705" w:type="dxa"/>
            <w:vMerge w:val="continue"/>
            <w:tcBorders>
              <w:tl2br w:val="nil"/>
              <w:tr2bl w:val="nil"/>
            </w:tcBorders>
            <w:noWrap/>
            <w:vAlign w:val="center"/>
          </w:tcPr>
          <w:p w14:paraId="5E888530">
            <w:pPr>
              <w:widowControl/>
              <w:spacing w:line="360" w:lineRule="auto"/>
              <w:jc w:val="center"/>
              <w:rPr>
                <w:rFonts w:ascii="宋体" w:hAnsi="宋体" w:cs="宋体"/>
                <w:b/>
                <w:bCs/>
                <w:color w:val="000000"/>
                <w:kern w:val="0"/>
                <w:szCs w:val="21"/>
              </w:rPr>
            </w:pPr>
          </w:p>
        </w:tc>
      </w:tr>
      <w:tr w14:paraId="39E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695D6EB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7" w:type="dxa"/>
            <w:tcBorders>
              <w:tl2br w:val="nil"/>
              <w:tr2bl w:val="nil"/>
            </w:tcBorders>
            <w:noWrap/>
            <w:vAlign w:val="center"/>
          </w:tcPr>
          <w:p w14:paraId="5FAB237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18" w:type="dxa"/>
            <w:tcBorders>
              <w:tl2br w:val="nil"/>
              <w:tr2bl w:val="nil"/>
            </w:tcBorders>
            <w:noWrap/>
            <w:vAlign w:val="center"/>
          </w:tcPr>
          <w:p w14:paraId="6D95E55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484*484*220</w:t>
            </w:r>
          </w:p>
        </w:tc>
        <w:tc>
          <w:tcPr>
            <w:tcW w:w="777" w:type="dxa"/>
            <w:tcBorders>
              <w:tl2br w:val="nil"/>
              <w:tr2bl w:val="nil"/>
            </w:tcBorders>
            <w:noWrap/>
            <w:vAlign w:val="center"/>
          </w:tcPr>
          <w:p w14:paraId="2FD403E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9" w:type="dxa"/>
            <w:tcBorders>
              <w:tl2br w:val="nil"/>
              <w:tr2bl w:val="nil"/>
            </w:tcBorders>
            <w:noWrap/>
            <w:vAlign w:val="center"/>
          </w:tcPr>
          <w:p w14:paraId="1B822CA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470</w:t>
            </w:r>
          </w:p>
        </w:tc>
        <w:tc>
          <w:tcPr>
            <w:tcW w:w="1622" w:type="dxa"/>
            <w:tcBorders>
              <w:tl2br w:val="nil"/>
              <w:tr2bl w:val="nil"/>
            </w:tcBorders>
            <w:noWrap/>
            <w:vAlign w:val="center"/>
          </w:tcPr>
          <w:p w14:paraId="2EAAF24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822</w:t>
            </w:r>
          </w:p>
        </w:tc>
        <w:tc>
          <w:tcPr>
            <w:tcW w:w="1705" w:type="dxa"/>
            <w:tcBorders>
              <w:tl2br w:val="nil"/>
              <w:tr2bl w:val="nil"/>
            </w:tcBorders>
            <w:noWrap/>
            <w:vAlign w:val="center"/>
          </w:tcPr>
          <w:p w14:paraId="6A082BA3">
            <w:pPr>
              <w:widowControl/>
              <w:spacing w:line="360" w:lineRule="auto"/>
              <w:jc w:val="center"/>
              <w:rPr>
                <w:rFonts w:ascii="宋体" w:hAnsi="宋体" w:cs="宋体"/>
                <w:color w:val="000000"/>
                <w:kern w:val="0"/>
                <w:szCs w:val="21"/>
              </w:rPr>
            </w:pPr>
          </w:p>
        </w:tc>
      </w:tr>
      <w:tr w14:paraId="4B58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00" w:type="dxa"/>
            <w:tcBorders>
              <w:tl2br w:val="nil"/>
              <w:tr2bl w:val="nil"/>
            </w:tcBorders>
            <w:noWrap/>
            <w:vAlign w:val="center"/>
          </w:tcPr>
          <w:p w14:paraId="65F6AF9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高效过滤器</w:t>
            </w:r>
          </w:p>
        </w:tc>
        <w:tc>
          <w:tcPr>
            <w:tcW w:w="777" w:type="dxa"/>
            <w:tcBorders>
              <w:tl2br w:val="nil"/>
              <w:tr2bl w:val="nil"/>
            </w:tcBorders>
            <w:noWrap/>
            <w:vAlign w:val="center"/>
          </w:tcPr>
          <w:p w14:paraId="655EB38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H14</w:t>
            </w:r>
          </w:p>
        </w:tc>
        <w:tc>
          <w:tcPr>
            <w:tcW w:w="1718" w:type="dxa"/>
            <w:tcBorders>
              <w:tl2br w:val="nil"/>
              <w:tr2bl w:val="nil"/>
            </w:tcBorders>
            <w:noWrap/>
            <w:vAlign w:val="center"/>
          </w:tcPr>
          <w:p w14:paraId="3A492B9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320*320*220</w:t>
            </w:r>
          </w:p>
        </w:tc>
        <w:tc>
          <w:tcPr>
            <w:tcW w:w="777" w:type="dxa"/>
            <w:tcBorders>
              <w:tl2br w:val="nil"/>
              <w:tr2bl w:val="nil"/>
            </w:tcBorders>
            <w:noWrap/>
            <w:vAlign w:val="center"/>
          </w:tcPr>
          <w:p w14:paraId="7547A3C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1419" w:type="dxa"/>
            <w:tcBorders>
              <w:tl2br w:val="nil"/>
              <w:tr2bl w:val="nil"/>
            </w:tcBorders>
            <w:noWrap/>
            <w:vAlign w:val="center"/>
          </w:tcPr>
          <w:p w14:paraId="396EAE4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390</w:t>
            </w:r>
          </w:p>
        </w:tc>
        <w:tc>
          <w:tcPr>
            <w:tcW w:w="1622" w:type="dxa"/>
            <w:tcBorders>
              <w:tl2br w:val="nil"/>
              <w:tr2bl w:val="nil"/>
            </w:tcBorders>
            <w:noWrap/>
            <w:vAlign w:val="center"/>
          </w:tcPr>
          <w:p w14:paraId="4FC92A2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624</w:t>
            </w:r>
          </w:p>
        </w:tc>
        <w:tc>
          <w:tcPr>
            <w:tcW w:w="1705" w:type="dxa"/>
            <w:tcBorders>
              <w:tl2br w:val="nil"/>
              <w:tr2bl w:val="nil"/>
            </w:tcBorders>
            <w:noWrap/>
            <w:vAlign w:val="center"/>
          </w:tcPr>
          <w:p w14:paraId="65C4F77E">
            <w:pPr>
              <w:widowControl/>
              <w:spacing w:line="360" w:lineRule="auto"/>
              <w:jc w:val="center"/>
              <w:rPr>
                <w:rFonts w:ascii="宋体" w:hAnsi="宋体" w:cs="宋体"/>
                <w:color w:val="000000"/>
                <w:kern w:val="0"/>
                <w:szCs w:val="21"/>
              </w:rPr>
            </w:pPr>
          </w:p>
        </w:tc>
      </w:tr>
    </w:tbl>
    <w:p w14:paraId="160B7FD4">
      <w:pPr>
        <w:spacing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color w:val="auto"/>
          <w:szCs w:val="21"/>
          <w:highlight w:val="yellow"/>
          <w:lang w:eastAsia="zh-CN"/>
        </w:rPr>
        <w:t>★8、200元以上材料及配件清单</w:t>
      </w:r>
      <w:r>
        <w:rPr>
          <w:rFonts w:hint="eastAsia" w:ascii="宋体" w:hAnsi="宋体" w:eastAsia="宋体" w:cs="宋体"/>
          <w:b/>
          <w:bCs/>
          <w:color w:val="FF0000"/>
          <w:sz w:val="21"/>
          <w:szCs w:val="21"/>
          <w:highlight w:val="yellow"/>
          <w:lang w:eastAsia="zh-CN"/>
        </w:rPr>
        <w:t>【</w:t>
      </w:r>
      <w:r>
        <w:rPr>
          <w:rFonts w:hint="eastAsia" w:hAnsi="宋体" w:cs="宋体"/>
          <w:b/>
          <w:bCs/>
          <w:color w:val="FF0000"/>
          <w:sz w:val="21"/>
          <w:szCs w:val="21"/>
          <w:highlight w:val="yellow"/>
          <w:lang w:eastAsia="zh-CN"/>
        </w:rPr>
        <w:t>投标人</w:t>
      </w:r>
      <w:r>
        <w:rPr>
          <w:rFonts w:hint="eastAsia" w:hAnsi="宋体" w:cs="宋体"/>
          <w:b/>
          <w:bCs/>
          <w:color w:val="FF0000"/>
          <w:sz w:val="21"/>
          <w:szCs w:val="21"/>
          <w:highlight w:val="yellow"/>
          <w:lang w:val="en-US" w:eastAsia="zh-CN"/>
        </w:rPr>
        <w:t>需</w:t>
      </w:r>
      <w:r>
        <w:rPr>
          <w:rFonts w:hint="eastAsia" w:hAnsi="宋体" w:cs="宋体"/>
          <w:b/>
          <w:bCs/>
          <w:color w:val="FF0000"/>
          <w:sz w:val="21"/>
          <w:szCs w:val="21"/>
          <w:highlight w:val="yellow"/>
          <w:lang w:eastAsia="zh-CN"/>
        </w:rPr>
        <w:t>提供承诺函（</w:t>
      </w:r>
      <w:r>
        <w:rPr>
          <w:rFonts w:hint="eastAsia" w:hAnsi="宋体" w:cs="宋体"/>
          <w:b/>
          <w:bCs/>
          <w:color w:val="FF0000"/>
          <w:sz w:val="21"/>
          <w:szCs w:val="21"/>
          <w:highlight w:val="yellow"/>
          <w:lang w:val="en-US" w:eastAsia="zh-CN"/>
        </w:rPr>
        <w:t>格式自拟</w:t>
      </w:r>
      <w:r>
        <w:rPr>
          <w:rFonts w:hint="eastAsia" w:hAnsi="宋体" w:cs="宋体"/>
          <w:b/>
          <w:bCs/>
          <w:color w:val="FF0000"/>
          <w:sz w:val="21"/>
          <w:szCs w:val="21"/>
          <w:highlight w:val="yellow"/>
          <w:lang w:eastAsia="zh-CN"/>
        </w:rPr>
        <w:t>），</w:t>
      </w:r>
      <w:r>
        <w:rPr>
          <w:rFonts w:hint="eastAsia" w:hAnsi="宋体" w:cs="宋体"/>
          <w:b/>
          <w:bCs/>
          <w:color w:val="FF0000"/>
          <w:sz w:val="21"/>
          <w:szCs w:val="21"/>
          <w:highlight w:val="yellow"/>
        </w:rPr>
        <w:t>承诺提供配件耗材</w:t>
      </w:r>
      <w:r>
        <w:rPr>
          <w:rFonts w:hint="eastAsia" w:hAnsi="宋体" w:cs="宋体"/>
          <w:b/>
          <w:bCs/>
          <w:color w:val="FF0000"/>
          <w:sz w:val="21"/>
          <w:szCs w:val="21"/>
          <w:highlight w:val="yellow"/>
          <w:lang w:val="en-US" w:eastAsia="zh-CN"/>
        </w:rPr>
        <w:t>的</w:t>
      </w:r>
      <w:r>
        <w:rPr>
          <w:rFonts w:hint="eastAsia" w:hAnsi="宋体" w:cs="宋体"/>
          <w:b/>
          <w:bCs/>
          <w:color w:val="FF0000"/>
          <w:sz w:val="21"/>
          <w:szCs w:val="21"/>
          <w:highlight w:val="yellow"/>
        </w:rPr>
        <w:t>产品单价不高</w:t>
      </w:r>
      <w:r>
        <w:rPr>
          <w:rFonts w:hint="eastAsia" w:ascii="宋体" w:hAnsi="宋体" w:eastAsia="宋体" w:cs="宋体"/>
          <w:b/>
          <w:bCs/>
          <w:color w:val="FF0000"/>
          <w:sz w:val="21"/>
          <w:szCs w:val="21"/>
          <w:highlight w:val="yellow"/>
        </w:rPr>
        <w:t>于</w:t>
      </w:r>
      <w:r>
        <w:rPr>
          <w:rFonts w:hint="eastAsia" w:ascii="宋体" w:hAnsi="宋体" w:eastAsia="宋体" w:cs="宋体"/>
          <w:b/>
          <w:bCs/>
          <w:color w:val="FF0000"/>
          <w:sz w:val="21"/>
          <w:szCs w:val="21"/>
          <w:highlight w:val="yellow"/>
          <w:lang w:eastAsia="zh-CN"/>
        </w:rPr>
        <w:t>“200元以上材料及配件</w:t>
      </w:r>
      <w:r>
        <w:rPr>
          <w:rFonts w:hint="eastAsia" w:hAnsi="宋体" w:cs="宋体"/>
          <w:b/>
          <w:bCs/>
          <w:color w:val="FF0000"/>
          <w:sz w:val="21"/>
          <w:szCs w:val="21"/>
          <w:highlight w:val="yellow"/>
          <w:lang w:eastAsia="zh-CN"/>
        </w:rPr>
        <w:t>清单”</w:t>
      </w:r>
      <w:r>
        <w:rPr>
          <w:rFonts w:hint="eastAsia" w:hAnsi="宋体" w:cs="宋体"/>
          <w:b/>
          <w:bCs/>
          <w:color w:val="FF0000"/>
          <w:sz w:val="21"/>
          <w:szCs w:val="21"/>
          <w:highlight w:val="yellow"/>
          <w:lang w:val="en-US" w:eastAsia="zh-CN"/>
        </w:rPr>
        <w:t>中的</w:t>
      </w:r>
      <w:r>
        <w:rPr>
          <w:rFonts w:hint="eastAsia" w:hAnsi="宋体" w:cs="宋体"/>
          <w:b/>
          <w:bCs/>
          <w:color w:val="FF0000"/>
          <w:sz w:val="21"/>
          <w:szCs w:val="21"/>
          <w:highlight w:val="yellow"/>
        </w:rPr>
        <w:t>单价最高限价</w:t>
      </w:r>
      <w:r>
        <w:rPr>
          <w:rFonts w:hint="eastAsia" w:ascii="宋体" w:hAnsi="宋体" w:cs="宋体"/>
          <w:b/>
          <w:bCs/>
          <w:color w:val="FF0000"/>
          <w:szCs w:val="21"/>
          <w:highlight w:val="yellow"/>
          <w:lang w:eastAsia="zh-CN"/>
        </w:rPr>
        <w:t>，未提供承诺或承诺内容不满足要求的，做投标无效处理；该费用不包含在投标总价中</w:t>
      </w:r>
      <w:r>
        <w:rPr>
          <w:rFonts w:hint="eastAsia" w:hAnsi="宋体" w:cs="宋体"/>
          <w:b/>
          <w:bCs/>
          <w:color w:val="FF0000"/>
          <w:sz w:val="21"/>
          <w:szCs w:val="21"/>
          <w:highlight w:val="yellow"/>
          <w:lang w:eastAsia="zh-CN"/>
        </w:rPr>
        <w:t>】：</w:t>
      </w:r>
    </w:p>
    <w:tbl>
      <w:tblPr>
        <w:tblStyle w:val="42"/>
        <w:tblW w:w="9380" w:type="dxa"/>
        <w:tblInd w:w="93" w:type="dxa"/>
        <w:tblLayout w:type="fixed"/>
        <w:tblCellMar>
          <w:top w:w="0" w:type="dxa"/>
          <w:left w:w="108" w:type="dxa"/>
          <w:bottom w:w="0" w:type="dxa"/>
          <w:right w:w="108" w:type="dxa"/>
        </w:tblCellMar>
      </w:tblPr>
      <w:tblGrid>
        <w:gridCol w:w="546"/>
        <w:gridCol w:w="2016"/>
        <w:gridCol w:w="3848"/>
        <w:gridCol w:w="1565"/>
        <w:gridCol w:w="1405"/>
      </w:tblGrid>
      <w:tr w14:paraId="1DB95855">
        <w:tblPrEx>
          <w:tblCellMar>
            <w:top w:w="0" w:type="dxa"/>
            <w:left w:w="108" w:type="dxa"/>
            <w:bottom w:w="0" w:type="dxa"/>
            <w:right w:w="108" w:type="dxa"/>
          </w:tblCellMar>
        </w:tblPrEx>
        <w:trPr>
          <w:trHeight w:val="320" w:hRule="atLeast"/>
        </w:trPr>
        <w:tc>
          <w:tcPr>
            <w:tcW w:w="9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BD19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200元以上维修配件</w:t>
            </w:r>
          </w:p>
        </w:tc>
      </w:tr>
      <w:tr w14:paraId="72D0F5B2">
        <w:tblPrEx>
          <w:tblCellMar>
            <w:top w:w="0" w:type="dxa"/>
            <w:left w:w="108" w:type="dxa"/>
            <w:bottom w:w="0" w:type="dxa"/>
            <w:right w:w="108"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D1B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3E3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配件、耗材名称</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539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规格型号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3F7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单价最高限价（元）</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8CF5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备注</w:t>
            </w:r>
          </w:p>
        </w:tc>
      </w:tr>
      <w:tr w14:paraId="0A4C70D5">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F7B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65D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PLC</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B59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0703007902Y1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4F3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16485</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49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空调主机</w:t>
            </w:r>
          </w:p>
        </w:tc>
      </w:tr>
      <w:tr w14:paraId="52047B13">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47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9CA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模块</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A7B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1703017302Y1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87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3045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1A65">
            <w:pPr>
              <w:jc w:val="center"/>
              <w:rPr>
                <w:rFonts w:ascii="宋体" w:hAnsi="宋体" w:cs="宋体"/>
                <w:color w:val="000000"/>
                <w:szCs w:val="21"/>
              </w:rPr>
            </w:pPr>
          </w:p>
        </w:tc>
      </w:tr>
      <w:tr w14:paraId="1D7220D2">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9DC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D8E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模块</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673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E030052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3CD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4042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74B1">
            <w:pPr>
              <w:jc w:val="center"/>
              <w:rPr>
                <w:rFonts w:ascii="宋体" w:hAnsi="宋体" w:cs="宋体"/>
                <w:color w:val="000000"/>
                <w:szCs w:val="21"/>
              </w:rPr>
            </w:pPr>
          </w:p>
        </w:tc>
      </w:tr>
      <w:tr w14:paraId="1FC68BFD">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DD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48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PLC模块</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5F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0703009202Y1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83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5023</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E102">
            <w:pPr>
              <w:jc w:val="center"/>
              <w:rPr>
                <w:rFonts w:ascii="宋体" w:hAnsi="宋体" w:cs="宋体"/>
                <w:color w:val="000000"/>
                <w:szCs w:val="21"/>
              </w:rPr>
            </w:pPr>
          </w:p>
        </w:tc>
      </w:tr>
      <w:tr w14:paraId="335567A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29C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6F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电压变送器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54C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E050017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64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2334</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8B3F">
            <w:pPr>
              <w:jc w:val="center"/>
              <w:rPr>
                <w:rFonts w:ascii="宋体" w:hAnsi="宋体" w:cs="宋体"/>
                <w:color w:val="000000"/>
                <w:szCs w:val="21"/>
              </w:rPr>
            </w:pPr>
          </w:p>
        </w:tc>
      </w:tr>
      <w:tr w14:paraId="451887C4">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DD7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0E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电流变送器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C1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E050018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DB7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2595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98E4">
            <w:pPr>
              <w:jc w:val="center"/>
              <w:rPr>
                <w:rFonts w:ascii="宋体" w:hAnsi="宋体" w:cs="宋体"/>
                <w:color w:val="000000"/>
                <w:szCs w:val="21"/>
              </w:rPr>
            </w:pPr>
          </w:p>
        </w:tc>
      </w:tr>
      <w:tr w14:paraId="6447C7F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6F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66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电子膨胀阀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9E9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A180156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A3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6143</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25B">
            <w:pPr>
              <w:jc w:val="center"/>
              <w:rPr>
                <w:rFonts w:ascii="宋体" w:hAnsi="宋体" w:cs="宋体"/>
                <w:color w:val="000000"/>
                <w:szCs w:val="21"/>
              </w:rPr>
            </w:pPr>
          </w:p>
        </w:tc>
      </w:tr>
      <w:tr w14:paraId="779D6706">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B40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5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电子膨胀阀控制器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0D1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E010034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79B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7420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B338">
            <w:pPr>
              <w:jc w:val="center"/>
              <w:rPr>
                <w:rFonts w:ascii="宋体" w:hAnsi="宋体" w:cs="宋体"/>
                <w:color w:val="000000"/>
                <w:szCs w:val="21"/>
              </w:rPr>
            </w:pPr>
          </w:p>
        </w:tc>
      </w:tr>
      <w:tr w14:paraId="18F661D9">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C1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631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断路器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E2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E060104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26D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10989</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3F41">
            <w:pPr>
              <w:jc w:val="center"/>
              <w:rPr>
                <w:rFonts w:ascii="宋体" w:hAnsi="宋体" w:cs="宋体"/>
                <w:color w:val="000000"/>
                <w:szCs w:val="21"/>
              </w:rPr>
            </w:pPr>
          </w:p>
        </w:tc>
      </w:tr>
      <w:tr w14:paraId="78830C0B">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2A5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7C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接触器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F86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E080095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3DD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2857</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CC02">
            <w:pPr>
              <w:jc w:val="center"/>
              <w:rPr>
                <w:rFonts w:ascii="宋体" w:hAnsi="宋体" w:cs="宋体"/>
                <w:color w:val="000000"/>
                <w:szCs w:val="21"/>
              </w:rPr>
            </w:pPr>
          </w:p>
        </w:tc>
      </w:tr>
      <w:tr w14:paraId="13948E0E">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254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ED2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漏电保护继电器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AA01">
            <w:pPr>
              <w:jc w:val="center"/>
              <w:rPr>
                <w:rFonts w:ascii="宋体" w:hAnsi="宋体" w:cs="宋体"/>
                <w:color w:val="FF0000"/>
                <w:szCs w:val="21"/>
              </w:rPr>
            </w:pPr>
            <w:r>
              <w:rPr>
                <w:rFonts w:ascii="宋体" w:hAnsi="宋体" w:cs="宋体"/>
                <w:color w:val="auto"/>
                <w:szCs w:val="21"/>
              </w:rPr>
              <w:t>E080096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459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7460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D351">
            <w:pPr>
              <w:jc w:val="center"/>
              <w:rPr>
                <w:rFonts w:ascii="宋体" w:hAnsi="宋体" w:cs="宋体"/>
                <w:color w:val="000000"/>
                <w:szCs w:val="21"/>
              </w:rPr>
            </w:pPr>
          </w:p>
        </w:tc>
      </w:tr>
      <w:tr w14:paraId="0AEB8A0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0AF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E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欠电压继电器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E89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E170016B1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5E3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3947</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5E16">
            <w:pPr>
              <w:jc w:val="center"/>
              <w:rPr>
                <w:rFonts w:ascii="宋体" w:hAnsi="宋体" w:cs="宋体"/>
                <w:color w:val="000000"/>
                <w:szCs w:val="21"/>
              </w:rPr>
            </w:pPr>
          </w:p>
        </w:tc>
      </w:tr>
      <w:tr w14:paraId="660F3606">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89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46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温度变送器（低温）</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27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E020087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E3B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3512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3043">
            <w:pPr>
              <w:jc w:val="center"/>
              <w:rPr>
                <w:rFonts w:ascii="宋体" w:hAnsi="宋体" w:cs="宋体"/>
                <w:color w:val="000000"/>
                <w:szCs w:val="21"/>
              </w:rPr>
            </w:pPr>
          </w:p>
        </w:tc>
      </w:tr>
      <w:tr w14:paraId="6288DFB5">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115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F79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温度变送器（高温）</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9A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E020088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1CD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3345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CDC1">
            <w:pPr>
              <w:jc w:val="center"/>
              <w:rPr>
                <w:rFonts w:ascii="宋体" w:hAnsi="宋体" w:cs="宋体"/>
                <w:color w:val="000000"/>
                <w:szCs w:val="21"/>
              </w:rPr>
            </w:pPr>
          </w:p>
        </w:tc>
      </w:tr>
      <w:tr w14:paraId="25578343">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438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C3F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温度传感器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954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E0200889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C2B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2772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62D7">
            <w:pPr>
              <w:jc w:val="center"/>
              <w:rPr>
                <w:rFonts w:ascii="宋体" w:hAnsi="宋体" w:cs="宋体"/>
                <w:color w:val="000000"/>
                <w:szCs w:val="21"/>
              </w:rPr>
            </w:pPr>
          </w:p>
        </w:tc>
      </w:tr>
      <w:tr w14:paraId="184D593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367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95C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液位传感器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D74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E020097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832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9564</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0635">
            <w:pPr>
              <w:jc w:val="center"/>
              <w:rPr>
                <w:rFonts w:ascii="宋体" w:hAnsi="宋体" w:cs="宋体"/>
                <w:color w:val="000000"/>
                <w:szCs w:val="21"/>
              </w:rPr>
            </w:pPr>
          </w:p>
        </w:tc>
      </w:tr>
      <w:tr w14:paraId="595B6C4E">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420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C7A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压力传感器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71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009510C1B</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094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7510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7079">
            <w:pPr>
              <w:jc w:val="center"/>
              <w:rPr>
                <w:rFonts w:ascii="宋体" w:hAnsi="宋体" w:cs="宋体"/>
                <w:color w:val="000000"/>
                <w:szCs w:val="21"/>
              </w:rPr>
            </w:pPr>
          </w:p>
        </w:tc>
      </w:tr>
      <w:tr w14:paraId="09F5CA2B">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236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4A0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压力传感器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5C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009510C2B</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E56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7510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0FAE">
            <w:pPr>
              <w:jc w:val="center"/>
              <w:rPr>
                <w:rFonts w:ascii="宋体" w:hAnsi="宋体" w:cs="宋体"/>
                <w:color w:val="000000"/>
                <w:szCs w:val="21"/>
              </w:rPr>
            </w:pPr>
          </w:p>
        </w:tc>
      </w:tr>
      <w:tr w14:paraId="47D5F99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16E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A4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压力传感器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4DC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E020077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E94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4572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8B9C">
            <w:pPr>
              <w:jc w:val="center"/>
              <w:rPr>
                <w:rFonts w:ascii="宋体" w:hAnsi="宋体" w:cs="宋体"/>
                <w:color w:val="000000"/>
                <w:szCs w:val="21"/>
              </w:rPr>
            </w:pPr>
          </w:p>
        </w:tc>
      </w:tr>
      <w:tr w14:paraId="210BE708">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4E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D40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压力传感器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FCA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ACX200R</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F0B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4620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7965">
            <w:pPr>
              <w:jc w:val="center"/>
              <w:rPr>
                <w:rFonts w:ascii="宋体" w:hAnsi="宋体" w:cs="宋体"/>
                <w:color w:val="000000"/>
                <w:szCs w:val="21"/>
              </w:rPr>
            </w:pPr>
          </w:p>
        </w:tc>
      </w:tr>
      <w:tr w14:paraId="1ABECE83">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DC9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8D0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电磁阀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89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0910030001Y1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798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5268</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44E4">
            <w:pPr>
              <w:jc w:val="center"/>
              <w:rPr>
                <w:rFonts w:ascii="宋体" w:hAnsi="宋体" w:cs="宋体"/>
                <w:color w:val="000000"/>
                <w:szCs w:val="21"/>
              </w:rPr>
            </w:pPr>
          </w:p>
        </w:tc>
      </w:tr>
      <w:tr w14:paraId="4E63F225">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5AD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FB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电机保护器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79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055970A1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FCC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9231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10A1">
            <w:pPr>
              <w:jc w:val="center"/>
              <w:rPr>
                <w:rFonts w:ascii="宋体" w:hAnsi="宋体" w:cs="宋体"/>
                <w:color w:val="000000"/>
                <w:szCs w:val="21"/>
              </w:rPr>
            </w:pPr>
          </w:p>
        </w:tc>
      </w:tr>
      <w:tr w14:paraId="54C9FED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32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55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板换</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966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A140146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80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16378</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28E6">
            <w:pPr>
              <w:jc w:val="center"/>
              <w:rPr>
                <w:rFonts w:ascii="宋体" w:hAnsi="宋体" w:cs="宋体"/>
                <w:color w:val="000000"/>
                <w:szCs w:val="21"/>
              </w:rPr>
            </w:pPr>
          </w:p>
        </w:tc>
      </w:tr>
      <w:tr w14:paraId="3031EC5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FDB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681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单向阀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40D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A220012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3B9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1724</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70C">
            <w:pPr>
              <w:jc w:val="center"/>
              <w:rPr>
                <w:rFonts w:ascii="宋体" w:hAnsi="宋体" w:cs="宋体"/>
                <w:color w:val="000000"/>
                <w:szCs w:val="21"/>
              </w:rPr>
            </w:pPr>
          </w:p>
        </w:tc>
      </w:tr>
      <w:tr w14:paraId="1008F25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40E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F56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四通阀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3F6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A190042N2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5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31066</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2D4F">
            <w:pPr>
              <w:jc w:val="center"/>
              <w:rPr>
                <w:rFonts w:ascii="宋体" w:hAnsi="宋体" w:cs="宋体"/>
                <w:color w:val="000000"/>
                <w:szCs w:val="21"/>
              </w:rPr>
            </w:pPr>
          </w:p>
        </w:tc>
      </w:tr>
      <w:tr w14:paraId="61D3DBA9">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FE4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BB0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控制屏触摸板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3BB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MT6070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0BD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3955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6098">
            <w:pPr>
              <w:jc w:val="center"/>
              <w:rPr>
                <w:rFonts w:ascii="宋体" w:hAnsi="宋体" w:cs="宋体"/>
                <w:color w:val="000000"/>
                <w:szCs w:val="21"/>
              </w:rPr>
            </w:pPr>
          </w:p>
        </w:tc>
      </w:tr>
      <w:tr w14:paraId="0071D1E9">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8F9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A0A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制冷剂</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F66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巨化R134a（13.6kg）</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3CF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730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0FCE">
            <w:pPr>
              <w:jc w:val="center"/>
              <w:rPr>
                <w:rFonts w:ascii="宋体" w:hAnsi="宋体" w:cs="宋体"/>
                <w:color w:val="000000"/>
                <w:szCs w:val="21"/>
              </w:rPr>
            </w:pPr>
          </w:p>
        </w:tc>
      </w:tr>
      <w:tr w14:paraId="06B6DFD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3CF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E03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压缩机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4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Panasonic/C-SC903H8W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C5F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5865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2681">
            <w:pPr>
              <w:jc w:val="center"/>
              <w:rPr>
                <w:rFonts w:ascii="宋体" w:hAnsi="宋体" w:cs="宋体"/>
                <w:color w:val="000000"/>
                <w:szCs w:val="21"/>
              </w:rPr>
            </w:pPr>
          </w:p>
        </w:tc>
      </w:tr>
      <w:tr w14:paraId="42BF4745">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F00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E5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冷冻油</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F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SUNISO/10L</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A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D6B8">
            <w:pPr>
              <w:jc w:val="center"/>
              <w:rPr>
                <w:rFonts w:ascii="宋体" w:hAnsi="宋体" w:cs="宋体"/>
                <w:color w:val="000000"/>
                <w:szCs w:val="21"/>
              </w:rPr>
            </w:pPr>
          </w:p>
        </w:tc>
      </w:tr>
      <w:tr w14:paraId="1FCE6B5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69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E62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制冷剂</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CD8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巨化/R22（22.7kg）</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5BA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930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EA56">
            <w:pPr>
              <w:jc w:val="center"/>
              <w:rPr>
                <w:rFonts w:ascii="宋体" w:hAnsi="宋体" w:cs="宋体"/>
                <w:color w:val="000000"/>
                <w:szCs w:val="21"/>
              </w:rPr>
            </w:pPr>
          </w:p>
        </w:tc>
      </w:tr>
      <w:tr w14:paraId="1F049B0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82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16F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蝶阀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254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DN200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76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F900">
            <w:pPr>
              <w:jc w:val="center"/>
              <w:rPr>
                <w:rFonts w:ascii="宋体" w:hAnsi="宋体" w:cs="宋体"/>
                <w:color w:val="000000"/>
                <w:szCs w:val="21"/>
              </w:rPr>
            </w:pPr>
          </w:p>
        </w:tc>
      </w:tr>
      <w:tr w14:paraId="442B8AD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850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535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风机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C9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YSWF102L70P6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2C9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1486</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31F1">
            <w:pPr>
              <w:jc w:val="center"/>
              <w:rPr>
                <w:rFonts w:ascii="宋体" w:hAnsi="宋体" w:cs="宋体"/>
                <w:color w:val="000000"/>
                <w:szCs w:val="21"/>
              </w:rPr>
            </w:pPr>
          </w:p>
        </w:tc>
      </w:tr>
      <w:tr w14:paraId="57C978B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278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83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水泵</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376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ISG100-160/15KW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037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9330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2F98">
            <w:pPr>
              <w:jc w:val="center"/>
              <w:rPr>
                <w:rFonts w:ascii="宋体" w:hAnsi="宋体" w:cs="宋体"/>
                <w:color w:val="000000"/>
                <w:szCs w:val="21"/>
              </w:rPr>
            </w:pPr>
          </w:p>
        </w:tc>
      </w:tr>
      <w:tr w14:paraId="46F00CBB">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F0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98B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风机总成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38A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原厂JZL/ZF</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300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7362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AAF">
            <w:pPr>
              <w:jc w:val="center"/>
              <w:rPr>
                <w:rFonts w:ascii="宋体" w:hAnsi="宋体" w:cs="宋体"/>
                <w:color w:val="000000"/>
                <w:szCs w:val="21"/>
              </w:rPr>
            </w:pPr>
          </w:p>
        </w:tc>
      </w:tr>
      <w:tr w14:paraId="7140473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849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FDE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压缩机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19D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A130058G-N</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2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229000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D787">
            <w:pPr>
              <w:jc w:val="center"/>
              <w:rPr>
                <w:rFonts w:ascii="宋体" w:hAnsi="宋体" w:cs="宋体"/>
                <w:color w:val="000000"/>
                <w:szCs w:val="21"/>
              </w:rPr>
            </w:pPr>
          </w:p>
        </w:tc>
      </w:tr>
      <w:tr w14:paraId="7B3FBB8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28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A24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冷冻油</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969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顿汉布什原厂20L装</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C1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0FCD">
            <w:pPr>
              <w:jc w:val="center"/>
              <w:rPr>
                <w:rFonts w:ascii="宋体" w:hAnsi="宋体" w:cs="宋体"/>
                <w:color w:val="000000"/>
                <w:szCs w:val="21"/>
              </w:rPr>
            </w:pPr>
          </w:p>
        </w:tc>
      </w:tr>
      <w:tr w14:paraId="50B2080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4B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777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干燥过滤器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51A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BLK43-Y1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E2C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78A0">
            <w:pPr>
              <w:jc w:val="center"/>
              <w:rPr>
                <w:rFonts w:ascii="宋体" w:hAnsi="宋体" w:cs="宋体"/>
                <w:color w:val="000000"/>
                <w:szCs w:val="21"/>
              </w:rPr>
            </w:pPr>
          </w:p>
        </w:tc>
      </w:tr>
      <w:tr w14:paraId="5560BFE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49A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84B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水泵</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55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NK 80-225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A0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43800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BC09">
            <w:pPr>
              <w:jc w:val="center"/>
              <w:rPr>
                <w:rFonts w:ascii="宋体" w:hAnsi="宋体" w:cs="宋体"/>
                <w:color w:val="000000"/>
                <w:szCs w:val="21"/>
              </w:rPr>
            </w:pPr>
          </w:p>
        </w:tc>
      </w:tr>
      <w:tr w14:paraId="2E9D14C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859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05E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空气开关</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C6C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Schneider CVS-400A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A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3440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C0BF">
            <w:pPr>
              <w:jc w:val="center"/>
              <w:rPr>
                <w:rFonts w:ascii="宋体" w:hAnsi="宋体" w:cs="宋体"/>
                <w:color w:val="000000"/>
                <w:szCs w:val="21"/>
              </w:rPr>
            </w:pPr>
          </w:p>
        </w:tc>
      </w:tr>
      <w:tr w14:paraId="724A85A8">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11A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586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交流接触器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A19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SIEMENS/3RT5064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0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1650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147F">
            <w:pPr>
              <w:jc w:val="center"/>
              <w:rPr>
                <w:rFonts w:ascii="宋体" w:hAnsi="宋体" w:cs="宋体"/>
                <w:color w:val="000000"/>
                <w:szCs w:val="21"/>
              </w:rPr>
            </w:pPr>
          </w:p>
        </w:tc>
      </w:tr>
      <w:tr w14:paraId="74B52C8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3C6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87B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风机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A00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MAF132S-6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994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3825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FEFD">
            <w:pPr>
              <w:jc w:val="center"/>
              <w:rPr>
                <w:rFonts w:ascii="宋体" w:hAnsi="宋体" w:cs="宋体"/>
                <w:color w:val="000000"/>
                <w:szCs w:val="21"/>
              </w:rPr>
            </w:pPr>
          </w:p>
        </w:tc>
      </w:tr>
      <w:tr w14:paraId="5390BDA3">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A0B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EDF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 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F74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3-MOT1LE1001-0DA32-1AA4-Z 1.1KW 3000转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FA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4020</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2A0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空调机组</w:t>
            </w:r>
          </w:p>
        </w:tc>
      </w:tr>
      <w:tr w14:paraId="569308E9">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2A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A84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 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240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3-MOT1LA9090-2KA10-Z  1.5KW 3000转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470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4600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D29A">
            <w:pPr>
              <w:jc w:val="center"/>
              <w:rPr>
                <w:rFonts w:ascii="宋体" w:hAnsi="宋体" w:cs="宋体"/>
                <w:color w:val="000000"/>
                <w:szCs w:val="21"/>
              </w:rPr>
            </w:pPr>
          </w:p>
        </w:tc>
      </w:tr>
      <w:tr w14:paraId="5B090508">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BE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43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 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0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3-MOT1LA9096-2KA10-Z  2.2KW 3000转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E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A6B4">
            <w:pPr>
              <w:jc w:val="center"/>
              <w:rPr>
                <w:rFonts w:ascii="宋体" w:hAnsi="宋体" w:cs="宋体"/>
                <w:color w:val="000000"/>
                <w:szCs w:val="21"/>
              </w:rPr>
            </w:pPr>
          </w:p>
        </w:tc>
      </w:tr>
      <w:tr w14:paraId="74AB77D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12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8DF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 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7D4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3-MOT1LE10011AA434AB4 3.0KW 3000转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5A2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6300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5EAE">
            <w:pPr>
              <w:jc w:val="center"/>
              <w:rPr>
                <w:rFonts w:ascii="宋体" w:hAnsi="宋体" w:cs="宋体"/>
                <w:color w:val="000000"/>
                <w:szCs w:val="21"/>
              </w:rPr>
            </w:pPr>
          </w:p>
        </w:tc>
      </w:tr>
      <w:tr w14:paraId="775D0C9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F5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D3D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 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2B7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3-MOT1LE1001-1AA42-1AA4-Z 3.0KW 1500转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6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6600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0A76">
            <w:pPr>
              <w:jc w:val="center"/>
              <w:rPr>
                <w:rFonts w:ascii="宋体" w:hAnsi="宋体" w:cs="宋体"/>
                <w:color w:val="000000"/>
                <w:szCs w:val="21"/>
              </w:rPr>
            </w:pPr>
          </w:p>
        </w:tc>
      </w:tr>
      <w:tr w14:paraId="42CA807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60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B3D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 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08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3-MOT1LE10011BB234AB4 4.0KW 1500转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CE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8100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DB61">
            <w:pPr>
              <w:jc w:val="center"/>
              <w:rPr>
                <w:rFonts w:ascii="宋体" w:hAnsi="宋体" w:cs="宋体"/>
                <w:color w:val="000000"/>
                <w:szCs w:val="21"/>
              </w:rPr>
            </w:pPr>
          </w:p>
        </w:tc>
      </w:tr>
      <w:tr w14:paraId="27B5378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7E3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80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 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9A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3-MOT1LE1001-1BA23-3AA4-Z 4.0KW 3000转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BD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7900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95BC">
            <w:pPr>
              <w:jc w:val="center"/>
              <w:rPr>
                <w:rFonts w:ascii="宋体" w:hAnsi="宋体" w:cs="宋体"/>
                <w:color w:val="000000"/>
                <w:szCs w:val="21"/>
              </w:rPr>
            </w:pPr>
          </w:p>
        </w:tc>
      </w:tr>
      <w:tr w14:paraId="06155DA6">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4E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EB6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09B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3-MOT1LE10011CB034AB4 5.5KW 1500转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B98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10500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7CC4">
            <w:pPr>
              <w:jc w:val="center"/>
              <w:rPr>
                <w:rFonts w:ascii="宋体" w:hAnsi="宋体" w:cs="宋体"/>
                <w:color w:val="000000"/>
                <w:szCs w:val="21"/>
              </w:rPr>
            </w:pPr>
          </w:p>
        </w:tc>
      </w:tr>
      <w:tr w14:paraId="362E96C9">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06F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586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B8F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3-MOT1LE10011CB234AB4 7.5KW 1500转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C7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922D">
            <w:pPr>
              <w:jc w:val="center"/>
              <w:rPr>
                <w:rFonts w:ascii="宋体" w:hAnsi="宋体" w:cs="宋体"/>
                <w:color w:val="000000"/>
                <w:szCs w:val="21"/>
              </w:rPr>
            </w:pPr>
          </w:p>
        </w:tc>
      </w:tr>
      <w:tr w14:paraId="017D2F26">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ACE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B18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变频风机西门子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C80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3-MOT1LE10011DB234AB4 11KW 1500转</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D7B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18500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1821">
            <w:pPr>
              <w:jc w:val="center"/>
              <w:rPr>
                <w:rFonts w:ascii="宋体" w:hAnsi="宋体" w:cs="宋体"/>
                <w:color w:val="000000"/>
                <w:szCs w:val="21"/>
              </w:rPr>
            </w:pPr>
          </w:p>
        </w:tc>
      </w:tr>
      <w:tr w14:paraId="76024594">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6B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8A2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ABB变频器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756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ACS150-03E-03A3-4 1.1KW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3D6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857">
            <w:pPr>
              <w:jc w:val="center"/>
              <w:rPr>
                <w:rFonts w:ascii="宋体" w:hAnsi="宋体" w:cs="宋体"/>
                <w:color w:val="000000"/>
                <w:szCs w:val="21"/>
              </w:rPr>
            </w:pPr>
          </w:p>
        </w:tc>
      </w:tr>
      <w:tr w14:paraId="0487B2C0">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F8F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D1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ABB变频器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DBF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ACS150-03E-04A1-4 1.5KW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947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5F8C">
            <w:pPr>
              <w:jc w:val="center"/>
              <w:rPr>
                <w:rFonts w:ascii="宋体" w:hAnsi="宋体" w:cs="宋体"/>
                <w:color w:val="000000"/>
                <w:szCs w:val="21"/>
              </w:rPr>
            </w:pPr>
          </w:p>
        </w:tc>
      </w:tr>
      <w:tr w14:paraId="2F69A9C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BC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CC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ABB变频器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94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ACS150-03E-05A6-4 2.2KW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50F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1FEB">
            <w:pPr>
              <w:jc w:val="center"/>
              <w:rPr>
                <w:rFonts w:ascii="宋体" w:hAnsi="宋体" w:cs="宋体"/>
                <w:color w:val="000000"/>
                <w:szCs w:val="21"/>
              </w:rPr>
            </w:pPr>
          </w:p>
        </w:tc>
      </w:tr>
      <w:tr w14:paraId="42DDF665">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464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7F0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ABB变频器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C05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ACS150-03E-07A3-4 3.0KW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F90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38E8">
            <w:pPr>
              <w:jc w:val="center"/>
              <w:rPr>
                <w:rFonts w:ascii="宋体" w:hAnsi="宋体" w:cs="宋体"/>
                <w:color w:val="000000"/>
                <w:szCs w:val="21"/>
              </w:rPr>
            </w:pPr>
          </w:p>
        </w:tc>
      </w:tr>
      <w:tr w14:paraId="668471F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10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8AE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ABB变频器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8A8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ACS310-03E-09A7-4 4.0KW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A7D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DE72">
            <w:pPr>
              <w:jc w:val="center"/>
              <w:rPr>
                <w:rFonts w:ascii="宋体" w:hAnsi="宋体" w:cs="宋体"/>
                <w:color w:val="000000"/>
                <w:szCs w:val="21"/>
              </w:rPr>
            </w:pPr>
          </w:p>
        </w:tc>
      </w:tr>
      <w:tr w14:paraId="7E887DC0">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182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E48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ABB变频器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0E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ACS310-03E-13A8-4 5.5KW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620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31B1">
            <w:pPr>
              <w:jc w:val="center"/>
              <w:rPr>
                <w:rFonts w:ascii="宋体" w:hAnsi="宋体" w:cs="宋体"/>
                <w:color w:val="000000"/>
                <w:szCs w:val="21"/>
              </w:rPr>
            </w:pPr>
          </w:p>
        </w:tc>
      </w:tr>
      <w:tr w14:paraId="1490C7D8">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EB7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1D0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ABB变频器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73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ACS310-03E-17A2-4 7.5KW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7A5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4570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5749">
            <w:pPr>
              <w:jc w:val="center"/>
              <w:rPr>
                <w:rFonts w:ascii="宋体" w:hAnsi="宋体" w:cs="宋体"/>
                <w:color w:val="000000"/>
                <w:szCs w:val="21"/>
              </w:rPr>
            </w:pPr>
          </w:p>
        </w:tc>
      </w:tr>
      <w:tr w14:paraId="26C64E18">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56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4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ABB变频器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814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ACS310-03E-25A4-4 11KW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35A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D137">
            <w:pPr>
              <w:jc w:val="center"/>
              <w:rPr>
                <w:rFonts w:ascii="宋体" w:hAnsi="宋体" w:cs="宋体"/>
                <w:color w:val="000000"/>
                <w:szCs w:val="21"/>
              </w:rPr>
            </w:pPr>
          </w:p>
        </w:tc>
      </w:tr>
      <w:tr w14:paraId="56112511">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98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A87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西门子温湿度传感器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F1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QFM9160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284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E5F4">
            <w:pPr>
              <w:jc w:val="center"/>
              <w:rPr>
                <w:rFonts w:ascii="宋体" w:hAnsi="宋体" w:cs="宋体"/>
                <w:color w:val="000000"/>
                <w:szCs w:val="21"/>
              </w:rPr>
            </w:pPr>
          </w:p>
        </w:tc>
      </w:tr>
      <w:tr w14:paraId="4D24AA8D">
        <w:tblPrEx>
          <w:tblCellMar>
            <w:top w:w="0" w:type="dxa"/>
            <w:left w:w="108" w:type="dxa"/>
            <w:bottom w:w="0" w:type="dxa"/>
            <w:right w:w="108"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7B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3D9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霍尼韦尔比例积分水阀执行器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50C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CN7505A2001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47B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1311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337C">
            <w:pPr>
              <w:jc w:val="center"/>
              <w:rPr>
                <w:rFonts w:ascii="宋体" w:hAnsi="宋体" w:cs="宋体"/>
                <w:color w:val="000000"/>
                <w:szCs w:val="21"/>
              </w:rPr>
            </w:pPr>
          </w:p>
        </w:tc>
      </w:tr>
      <w:tr w14:paraId="274FD937">
        <w:tblPrEx>
          <w:tblCellMar>
            <w:top w:w="0" w:type="dxa"/>
            <w:left w:w="108" w:type="dxa"/>
            <w:bottom w:w="0" w:type="dxa"/>
            <w:right w:w="108"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A55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88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霍尼韦尔比例积分水阀执行器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418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CN7510A2001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091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1910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4A75">
            <w:pPr>
              <w:jc w:val="center"/>
              <w:rPr>
                <w:rFonts w:ascii="宋体" w:hAnsi="宋体" w:cs="宋体"/>
                <w:color w:val="000000"/>
                <w:szCs w:val="21"/>
              </w:rPr>
            </w:pPr>
          </w:p>
        </w:tc>
      </w:tr>
      <w:tr w14:paraId="07837A06">
        <w:tblPrEx>
          <w:tblCellMar>
            <w:top w:w="0" w:type="dxa"/>
            <w:left w:w="108" w:type="dxa"/>
            <w:bottom w:w="0" w:type="dxa"/>
            <w:right w:w="108"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20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E9C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霍尼韦尔比例积分水阀执行器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88D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CN7220A2007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DF4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2470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AB1F">
            <w:pPr>
              <w:jc w:val="center"/>
              <w:rPr>
                <w:rFonts w:ascii="宋体" w:hAnsi="宋体" w:cs="宋体"/>
                <w:color w:val="000000"/>
                <w:szCs w:val="21"/>
              </w:rPr>
            </w:pPr>
          </w:p>
        </w:tc>
      </w:tr>
      <w:tr w14:paraId="055DFC7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C8D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6D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电加热器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6C1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PTC 4.8KW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1A2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850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BA36">
            <w:pPr>
              <w:jc w:val="center"/>
              <w:rPr>
                <w:rFonts w:ascii="宋体" w:hAnsi="宋体" w:cs="宋体"/>
                <w:color w:val="000000"/>
                <w:szCs w:val="21"/>
              </w:rPr>
            </w:pPr>
          </w:p>
        </w:tc>
      </w:tr>
      <w:tr w14:paraId="75085AB0">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F31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03A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表冷器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F4A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1500*300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12B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45CC">
            <w:pPr>
              <w:jc w:val="center"/>
              <w:rPr>
                <w:rFonts w:ascii="宋体" w:hAnsi="宋体" w:cs="宋体"/>
                <w:color w:val="000000"/>
                <w:szCs w:val="21"/>
              </w:rPr>
            </w:pPr>
          </w:p>
        </w:tc>
      </w:tr>
      <w:tr w14:paraId="2B96185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103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220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制冷剂</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A71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巨化R410A（10KG）</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47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CB49">
            <w:pPr>
              <w:jc w:val="center"/>
              <w:rPr>
                <w:rFonts w:ascii="宋体" w:hAnsi="宋体" w:cs="宋体"/>
                <w:color w:val="000000"/>
                <w:szCs w:val="21"/>
              </w:rPr>
            </w:pPr>
          </w:p>
        </w:tc>
      </w:tr>
      <w:tr w14:paraId="27A25A3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924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C6E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西门子比例积分执行器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356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GDB161.9E</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5E4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1544</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4390">
            <w:pPr>
              <w:jc w:val="center"/>
              <w:rPr>
                <w:rFonts w:ascii="宋体" w:hAnsi="宋体" w:cs="宋体"/>
                <w:color w:val="000000"/>
                <w:szCs w:val="21"/>
              </w:rPr>
            </w:pPr>
          </w:p>
        </w:tc>
      </w:tr>
      <w:tr w14:paraId="2D31975F">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1B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F1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风机总成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CE7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LKW335L</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530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6175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433E">
            <w:pPr>
              <w:jc w:val="center"/>
              <w:rPr>
                <w:rFonts w:ascii="宋体" w:hAnsi="宋体" w:cs="宋体"/>
                <w:color w:val="000000"/>
                <w:szCs w:val="21"/>
              </w:rPr>
            </w:pPr>
          </w:p>
        </w:tc>
      </w:tr>
      <w:tr w14:paraId="1E95364B">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3A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874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电加热器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CC8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PTC 5KW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2D7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950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3A50">
            <w:pPr>
              <w:jc w:val="center"/>
              <w:rPr>
                <w:rFonts w:ascii="宋体" w:hAnsi="宋体" w:cs="宋体"/>
                <w:color w:val="000000"/>
                <w:szCs w:val="21"/>
              </w:rPr>
            </w:pPr>
          </w:p>
        </w:tc>
      </w:tr>
      <w:tr w14:paraId="5D36B97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193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C95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变频器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4F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ATV310HU40N4A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E2A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3675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E192">
            <w:pPr>
              <w:jc w:val="center"/>
              <w:rPr>
                <w:rFonts w:ascii="宋体" w:hAnsi="宋体" w:cs="宋体"/>
                <w:color w:val="000000"/>
                <w:szCs w:val="21"/>
              </w:rPr>
            </w:pPr>
          </w:p>
        </w:tc>
      </w:tr>
      <w:tr w14:paraId="3A987BF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6A9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B4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DN20阀门</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BBBB78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VBA16P020</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366D14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750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EB8A">
            <w:pPr>
              <w:jc w:val="center"/>
              <w:rPr>
                <w:rFonts w:ascii="宋体" w:hAnsi="宋体" w:cs="宋体"/>
                <w:color w:val="000000"/>
                <w:szCs w:val="21"/>
              </w:rPr>
            </w:pPr>
          </w:p>
        </w:tc>
      </w:tr>
      <w:tr w14:paraId="2CFB99D5">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D45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DE1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DN25阀门</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AFA796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VBA16P025</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904E82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780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6628">
            <w:pPr>
              <w:jc w:val="center"/>
              <w:rPr>
                <w:rFonts w:ascii="宋体" w:hAnsi="宋体" w:cs="宋体"/>
                <w:color w:val="000000"/>
                <w:szCs w:val="21"/>
              </w:rPr>
            </w:pPr>
          </w:p>
        </w:tc>
      </w:tr>
      <w:tr w14:paraId="79E8B3C6">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3E4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1AC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排水泵</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E37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CL1240-DR</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872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1615</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B8D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加湿器</w:t>
            </w:r>
          </w:p>
        </w:tc>
      </w:tr>
      <w:tr w14:paraId="677CCC60">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31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168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主板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ED0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STS</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01C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3752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CCF7">
            <w:pPr>
              <w:jc w:val="center"/>
              <w:rPr>
                <w:rFonts w:ascii="宋体" w:hAnsi="宋体" w:cs="宋体"/>
                <w:color w:val="000000"/>
                <w:szCs w:val="21"/>
              </w:rPr>
            </w:pPr>
          </w:p>
        </w:tc>
      </w:tr>
      <w:tr w14:paraId="63CFBD9C">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797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587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进水浮子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5F5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STSFZ</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43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1450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0513">
            <w:pPr>
              <w:jc w:val="center"/>
              <w:rPr>
                <w:rFonts w:ascii="宋体" w:hAnsi="宋体" w:cs="宋体"/>
                <w:color w:val="000000"/>
                <w:szCs w:val="21"/>
              </w:rPr>
            </w:pPr>
          </w:p>
        </w:tc>
      </w:tr>
      <w:tr w14:paraId="61123C6F">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976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624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温度传感器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908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STSWD</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B5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570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2832">
            <w:pPr>
              <w:jc w:val="center"/>
              <w:rPr>
                <w:rFonts w:ascii="宋体" w:hAnsi="宋体" w:cs="宋体"/>
                <w:color w:val="000000"/>
                <w:szCs w:val="21"/>
              </w:rPr>
            </w:pPr>
          </w:p>
        </w:tc>
      </w:tr>
      <w:tr w14:paraId="511119CF">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AD4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8DD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电磁阀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F8A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UW-C-10PK G3/8220VAC</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A16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361</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C741">
            <w:pPr>
              <w:jc w:val="center"/>
              <w:rPr>
                <w:rFonts w:ascii="宋体" w:hAnsi="宋体" w:cs="宋体"/>
                <w:color w:val="000000"/>
                <w:szCs w:val="21"/>
              </w:rPr>
            </w:pPr>
          </w:p>
        </w:tc>
      </w:tr>
      <w:tr w14:paraId="0C8B4B91">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BB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C65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电极式加湿桶</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1C5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诺德曼OEM3264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941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2874</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DBDD">
            <w:pPr>
              <w:jc w:val="center"/>
              <w:rPr>
                <w:rFonts w:ascii="宋体" w:hAnsi="宋体" w:cs="宋体"/>
                <w:color w:val="000000"/>
                <w:szCs w:val="21"/>
              </w:rPr>
            </w:pPr>
          </w:p>
        </w:tc>
      </w:tr>
      <w:tr w14:paraId="14758950">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62B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658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电极式加湿桶</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B0B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诺德曼OEM434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42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1942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A986">
            <w:pPr>
              <w:jc w:val="center"/>
              <w:rPr>
                <w:rFonts w:ascii="宋体" w:hAnsi="宋体" w:cs="宋体"/>
                <w:color w:val="000000"/>
                <w:szCs w:val="21"/>
              </w:rPr>
            </w:pPr>
          </w:p>
        </w:tc>
      </w:tr>
      <w:tr w14:paraId="4B413FF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2E4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FA8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电热管</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46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诺德曼8kg/h</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7C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1467</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CE7E">
            <w:pPr>
              <w:jc w:val="center"/>
              <w:rPr>
                <w:rFonts w:ascii="宋体" w:hAnsi="宋体" w:cs="宋体"/>
                <w:color w:val="000000"/>
                <w:szCs w:val="21"/>
              </w:rPr>
            </w:pPr>
          </w:p>
        </w:tc>
      </w:tr>
      <w:tr w14:paraId="1393EAA5">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BB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433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电热管</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23C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诺德曼4kg/h</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AB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499F">
            <w:pPr>
              <w:jc w:val="center"/>
              <w:rPr>
                <w:rFonts w:ascii="宋体" w:hAnsi="宋体" w:cs="宋体"/>
                <w:color w:val="000000"/>
                <w:szCs w:val="21"/>
              </w:rPr>
            </w:pPr>
          </w:p>
        </w:tc>
      </w:tr>
      <w:tr w14:paraId="3382BF75">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6E0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190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进水阀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45A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诺德曼E3300 AC220V</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B9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0765">
            <w:pPr>
              <w:jc w:val="center"/>
              <w:rPr>
                <w:rFonts w:ascii="宋体" w:hAnsi="宋体" w:cs="宋体"/>
                <w:color w:val="000000"/>
                <w:szCs w:val="21"/>
              </w:rPr>
            </w:pPr>
          </w:p>
        </w:tc>
      </w:tr>
      <w:tr w14:paraId="3479F90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E8E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F76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排水阀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8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诺德曼0545 220V/50Hz</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9A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1218</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B8B4">
            <w:pPr>
              <w:jc w:val="center"/>
              <w:rPr>
                <w:rFonts w:ascii="宋体" w:hAnsi="宋体" w:cs="宋体"/>
                <w:color w:val="000000"/>
                <w:szCs w:val="21"/>
              </w:rPr>
            </w:pPr>
          </w:p>
        </w:tc>
      </w:tr>
      <w:tr w14:paraId="24F48D1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FF6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E76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蒸汽执行器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03A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ST-7152-XK</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ED1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4420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4046">
            <w:pPr>
              <w:jc w:val="center"/>
              <w:rPr>
                <w:rFonts w:ascii="宋体" w:hAnsi="宋体" w:cs="宋体"/>
                <w:color w:val="000000"/>
                <w:szCs w:val="21"/>
              </w:rPr>
            </w:pPr>
          </w:p>
        </w:tc>
      </w:tr>
      <w:tr w14:paraId="093FF3DE">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AC3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517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蒸汽截止阀</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BA7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DN15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082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656</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BF32">
            <w:pPr>
              <w:jc w:val="center"/>
              <w:rPr>
                <w:rFonts w:ascii="宋体" w:hAnsi="宋体" w:cs="宋体"/>
                <w:color w:val="000000"/>
                <w:szCs w:val="21"/>
              </w:rPr>
            </w:pPr>
          </w:p>
        </w:tc>
      </w:tr>
      <w:tr w14:paraId="7D383B68">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BDC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15D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不锈钢蒸汽喷杆</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F28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22*600mm</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585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9270">
            <w:pPr>
              <w:jc w:val="center"/>
              <w:rPr>
                <w:rFonts w:ascii="宋体" w:hAnsi="宋体" w:cs="宋体"/>
                <w:color w:val="000000"/>
                <w:szCs w:val="21"/>
              </w:rPr>
            </w:pPr>
          </w:p>
        </w:tc>
      </w:tr>
      <w:tr w14:paraId="0F0A8CA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2DF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3FC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不锈钢蒸汽喷杆</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354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32*1200mm</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56C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626</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FC93">
            <w:pPr>
              <w:jc w:val="center"/>
              <w:rPr>
                <w:rFonts w:ascii="宋体" w:hAnsi="宋体" w:cs="宋体"/>
                <w:color w:val="000000"/>
                <w:szCs w:val="21"/>
              </w:rPr>
            </w:pPr>
          </w:p>
        </w:tc>
      </w:tr>
      <w:tr w14:paraId="5CAEA7B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AA8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DD0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比例积分调节阀执行器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79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VA-3100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12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1220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4D2E">
            <w:pPr>
              <w:jc w:val="center"/>
              <w:rPr>
                <w:rFonts w:ascii="宋体" w:hAnsi="宋体" w:cs="宋体"/>
                <w:color w:val="000000"/>
                <w:szCs w:val="21"/>
              </w:rPr>
            </w:pPr>
          </w:p>
        </w:tc>
      </w:tr>
      <w:tr w14:paraId="28CC5AFF">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7DB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B3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自来水过滤器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2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DN15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F82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2C67">
            <w:pPr>
              <w:jc w:val="center"/>
              <w:rPr>
                <w:rFonts w:ascii="宋体" w:hAnsi="宋体" w:cs="宋体"/>
                <w:color w:val="000000"/>
                <w:szCs w:val="21"/>
              </w:rPr>
            </w:pPr>
          </w:p>
        </w:tc>
      </w:tr>
      <w:tr w14:paraId="298B92AB">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E49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3E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时钟板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EF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SKSZ-B05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E87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940</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D7F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空调情报面板</w:t>
            </w:r>
          </w:p>
        </w:tc>
      </w:tr>
      <w:tr w14:paraId="65040AB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B63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2C5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时钟主板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BB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SKSZ-T04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2FA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87A3">
            <w:pPr>
              <w:jc w:val="center"/>
              <w:rPr>
                <w:rFonts w:ascii="宋体" w:hAnsi="宋体" w:cs="宋体"/>
                <w:color w:val="000000"/>
                <w:szCs w:val="21"/>
              </w:rPr>
            </w:pPr>
          </w:p>
        </w:tc>
      </w:tr>
      <w:tr w14:paraId="57BCE4D1">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54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8D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主控屏板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992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SKKP-D08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43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1756</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DB2C">
            <w:pPr>
              <w:jc w:val="center"/>
              <w:rPr>
                <w:rFonts w:ascii="宋体" w:hAnsi="宋体" w:cs="宋体"/>
                <w:color w:val="000000"/>
                <w:szCs w:val="21"/>
              </w:rPr>
            </w:pPr>
          </w:p>
        </w:tc>
      </w:tr>
      <w:tr w14:paraId="1F595B1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D1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FB5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空调主板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318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SKKT-B10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DC8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1970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A57E">
            <w:pPr>
              <w:jc w:val="center"/>
              <w:rPr>
                <w:rFonts w:ascii="宋体" w:hAnsi="宋体" w:cs="宋体"/>
                <w:color w:val="000000"/>
                <w:szCs w:val="21"/>
              </w:rPr>
            </w:pPr>
          </w:p>
        </w:tc>
      </w:tr>
      <w:tr w14:paraId="32BE3377">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AB3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26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电话板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874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SKTEL-G05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93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1558</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B65D">
            <w:pPr>
              <w:jc w:val="center"/>
              <w:rPr>
                <w:rFonts w:ascii="宋体" w:hAnsi="宋体" w:cs="宋体"/>
                <w:color w:val="000000"/>
                <w:szCs w:val="21"/>
              </w:rPr>
            </w:pPr>
          </w:p>
        </w:tc>
      </w:tr>
      <w:tr w14:paraId="2E140531">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1AD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A7B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气体报警板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8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SKQT-A06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EA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1558</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7340">
            <w:pPr>
              <w:jc w:val="center"/>
              <w:rPr>
                <w:rFonts w:ascii="宋体" w:hAnsi="宋体" w:cs="宋体"/>
                <w:color w:val="000000"/>
                <w:szCs w:val="21"/>
              </w:rPr>
            </w:pPr>
          </w:p>
        </w:tc>
      </w:tr>
      <w:tr w14:paraId="4AFB95FB">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7E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6CA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电话底板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B75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SKTELB-L03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E4F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AACE">
            <w:pPr>
              <w:jc w:val="center"/>
              <w:rPr>
                <w:rFonts w:ascii="宋体" w:hAnsi="宋体" w:cs="宋体"/>
                <w:color w:val="000000"/>
                <w:szCs w:val="21"/>
              </w:rPr>
            </w:pPr>
          </w:p>
        </w:tc>
      </w:tr>
      <w:tr w14:paraId="463C4B6F">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8CD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B33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空调底板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EAB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SKKTB-L01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86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EDF2">
            <w:pPr>
              <w:jc w:val="center"/>
              <w:rPr>
                <w:rFonts w:ascii="宋体" w:hAnsi="宋体" w:cs="宋体"/>
                <w:color w:val="000000"/>
                <w:szCs w:val="21"/>
              </w:rPr>
            </w:pPr>
          </w:p>
        </w:tc>
      </w:tr>
      <w:tr w14:paraId="17416134">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BA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606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控制屏底板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7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SKKPL-C06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6D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D6CF">
            <w:pPr>
              <w:jc w:val="center"/>
              <w:rPr>
                <w:rFonts w:ascii="宋体" w:hAnsi="宋体" w:cs="宋体"/>
                <w:color w:val="000000"/>
                <w:szCs w:val="21"/>
              </w:rPr>
            </w:pPr>
          </w:p>
        </w:tc>
      </w:tr>
      <w:tr w14:paraId="5CC3B012">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58C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EFC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气体底板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143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SKQTB-L01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CB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9CD3">
            <w:pPr>
              <w:jc w:val="center"/>
              <w:rPr>
                <w:rFonts w:ascii="宋体" w:hAnsi="宋体" w:cs="宋体"/>
                <w:color w:val="000000"/>
                <w:szCs w:val="21"/>
              </w:rPr>
            </w:pPr>
          </w:p>
        </w:tc>
      </w:tr>
      <w:tr w14:paraId="7C3BFFB4">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F52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76E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自动感应水龙头</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25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CAMONER</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C17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1800</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C04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净化区域</w:t>
            </w:r>
          </w:p>
        </w:tc>
      </w:tr>
      <w:tr w14:paraId="436C86A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9D2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0A7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外接报警显示终端</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3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PISO-8100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D57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3760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B1AC">
            <w:pPr>
              <w:jc w:val="center"/>
              <w:rPr>
                <w:rFonts w:ascii="宋体" w:hAnsi="宋体" w:cs="宋体"/>
                <w:color w:val="000000"/>
                <w:szCs w:val="21"/>
              </w:rPr>
            </w:pPr>
          </w:p>
        </w:tc>
      </w:tr>
      <w:tr w14:paraId="5E7F1481">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E64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4A7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LED平板灯</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029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1200*600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EB2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C5DC">
            <w:pPr>
              <w:jc w:val="center"/>
              <w:rPr>
                <w:rFonts w:ascii="宋体" w:hAnsi="宋体" w:cs="宋体"/>
                <w:color w:val="000000"/>
                <w:szCs w:val="21"/>
              </w:rPr>
            </w:pPr>
          </w:p>
        </w:tc>
      </w:tr>
      <w:tr w14:paraId="4E49DC1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3F4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F7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LED斜边净化面板灯</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CE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洲净610*1210*10MM-72W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B1A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9414">
            <w:pPr>
              <w:jc w:val="center"/>
              <w:rPr>
                <w:rFonts w:ascii="宋体" w:hAnsi="宋体" w:cs="宋体"/>
                <w:color w:val="000000"/>
                <w:szCs w:val="21"/>
              </w:rPr>
            </w:pPr>
          </w:p>
        </w:tc>
      </w:tr>
      <w:tr w14:paraId="5B4B0E63">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B5D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3E6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LED斜边净化面板灯</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496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洲净310*1210*10MM-38W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306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249</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0490">
            <w:pPr>
              <w:jc w:val="center"/>
              <w:rPr>
                <w:rFonts w:ascii="宋体" w:hAnsi="宋体" w:cs="宋体"/>
                <w:color w:val="000000"/>
                <w:szCs w:val="21"/>
              </w:rPr>
            </w:pPr>
          </w:p>
        </w:tc>
      </w:tr>
      <w:tr w14:paraId="58903D5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8E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ADC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LED斜边净化面板灯</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A15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洲净610*610*10MM-38W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D47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249</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3716">
            <w:pPr>
              <w:jc w:val="center"/>
              <w:rPr>
                <w:rFonts w:ascii="宋体" w:hAnsi="宋体" w:cs="宋体"/>
                <w:color w:val="000000"/>
                <w:szCs w:val="21"/>
              </w:rPr>
            </w:pPr>
          </w:p>
        </w:tc>
      </w:tr>
      <w:tr w14:paraId="15B3BA50">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8CB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EA4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LED斜边净化面板灯</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3A5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洲净450*1295*10MM-72W </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E49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4300">
            <w:pPr>
              <w:jc w:val="center"/>
              <w:rPr>
                <w:rFonts w:ascii="宋体" w:hAnsi="宋体" w:cs="宋体"/>
                <w:color w:val="000000"/>
                <w:szCs w:val="21"/>
              </w:rPr>
            </w:pPr>
          </w:p>
        </w:tc>
      </w:tr>
      <w:tr w14:paraId="485AE4BC">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E52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0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LED斜边净化面板灯</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C0F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洲净450*1245*10MM-72W</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1ED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9ED3">
            <w:pPr>
              <w:jc w:val="center"/>
              <w:rPr>
                <w:rFonts w:ascii="宋体" w:hAnsi="宋体" w:cs="宋体"/>
                <w:color w:val="000000"/>
                <w:szCs w:val="21"/>
              </w:rPr>
            </w:pPr>
          </w:p>
        </w:tc>
      </w:tr>
      <w:tr w14:paraId="4C77713F">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BB9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1D5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回风百叶</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E7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600*600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0C2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C3D8">
            <w:pPr>
              <w:jc w:val="center"/>
              <w:rPr>
                <w:rFonts w:ascii="宋体" w:hAnsi="宋体" w:cs="宋体"/>
                <w:color w:val="000000"/>
                <w:szCs w:val="21"/>
              </w:rPr>
            </w:pPr>
          </w:p>
        </w:tc>
      </w:tr>
      <w:tr w14:paraId="735676C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64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97A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回风百叶</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DBE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450*400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788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0EE6">
            <w:pPr>
              <w:jc w:val="center"/>
              <w:rPr>
                <w:rFonts w:ascii="宋体" w:hAnsi="宋体" w:cs="宋体"/>
                <w:color w:val="000000"/>
                <w:szCs w:val="21"/>
              </w:rPr>
            </w:pPr>
          </w:p>
        </w:tc>
      </w:tr>
      <w:tr w14:paraId="7586BEAB">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73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9B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水过滤器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B64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DN15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2F4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B685">
            <w:pPr>
              <w:jc w:val="center"/>
              <w:rPr>
                <w:rFonts w:ascii="宋体" w:hAnsi="宋体" w:cs="宋体"/>
                <w:color w:val="000000"/>
                <w:szCs w:val="21"/>
              </w:rPr>
            </w:pPr>
          </w:p>
        </w:tc>
      </w:tr>
      <w:tr w14:paraId="0D8E85B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8D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C49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气密门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5A9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r>
              <w:rPr>
                <w:rFonts w:hint="eastAsia" w:ascii="宋体" w:hAnsi="宋体" w:cs="宋体"/>
                <w:color w:val="333333"/>
                <w:kern w:val="0"/>
                <w:szCs w:val="21"/>
                <w:lang w:bidi="ar"/>
              </w:rPr>
              <w:t>100*900mm</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90E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2460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D75C">
            <w:pPr>
              <w:jc w:val="center"/>
              <w:rPr>
                <w:rFonts w:ascii="宋体" w:hAnsi="宋体" w:cs="宋体"/>
                <w:color w:val="000000"/>
                <w:szCs w:val="21"/>
              </w:rPr>
            </w:pPr>
          </w:p>
        </w:tc>
      </w:tr>
      <w:tr w14:paraId="775C7A49">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D8A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0F7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铅板气密门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FFF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r>
              <w:rPr>
                <w:rFonts w:hint="eastAsia" w:ascii="宋体" w:hAnsi="宋体" w:cs="宋体"/>
                <w:color w:val="333333"/>
                <w:kern w:val="0"/>
                <w:szCs w:val="21"/>
                <w:lang w:bidi="ar"/>
              </w:rPr>
              <w:t>100*900mm</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DA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8230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D32B">
            <w:pPr>
              <w:jc w:val="center"/>
              <w:rPr>
                <w:rFonts w:ascii="宋体" w:hAnsi="宋体" w:cs="宋体"/>
                <w:color w:val="000000"/>
                <w:szCs w:val="21"/>
              </w:rPr>
            </w:pPr>
          </w:p>
        </w:tc>
      </w:tr>
      <w:tr w14:paraId="3083486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E3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1E3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自动门门机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A52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直流无刷电机（</w:t>
            </w:r>
            <w:r>
              <w:rPr>
                <w:rFonts w:hint="eastAsia" w:ascii="宋体" w:hAnsi="宋体" w:cs="宋体"/>
                <w:color w:val="333333"/>
                <w:kern w:val="0"/>
                <w:szCs w:val="21"/>
                <w:lang w:bidi="ar"/>
              </w:rPr>
              <w:t>OWNIC）</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E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0B9F">
            <w:pPr>
              <w:jc w:val="center"/>
              <w:rPr>
                <w:rFonts w:ascii="宋体" w:hAnsi="宋体" w:cs="宋体"/>
                <w:color w:val="000000"/>
                <w:szCs w:val="21"/>
              </w:rPr>
            </w:pPr>
          </w:p>
        </w:tc>
      </w:tr>
      <w:tr w14:paraId="0B6627E5">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177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C0E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自动门控制器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EEF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OWNIC</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03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1788">
            <w:pPr>
              <w:jc w:val="center"/>
              <w:rPr>
                <w:rFonts w:ascii="宋体" w:hAnsi="宋体" w:cs="宋体"/>
                <w:color w:val="000000"/>
                <w:szCs w:val="21"/>
              </w:rPr>
            </w:pPr>
          </w:p>
        </w:tc>
      </w:tr>
      <w:tr w14:paraId="3498D7A3">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4C0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F9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自动门电机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230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MICOM/EDM-MD</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056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D9A5">
            <w:pPr>
              <w:jc w:val="center"/>
              <w:rPr>
                <w:rFonts w:ascii="宋体" w:hAnsi="宋体" w:cs="宋体"/>
                <w:color w:val="000000"/>
                <w:szCs w:val="21"/>
              </w:rPr>
            </w:pPr>
          </w:p>
        </w:tc>
      </w:tr>
      <w:tr w14:paraId="06AD9170">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FFB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99A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升降窗电机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2D6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ZJ12V</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8E7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6EDF">
            <w:pPr>
              <w:jc w:val="center"/>
              <w:rPr>
                <w:rFonts w:ascii="宋体" w:hAnsi="宋体" w:cs="宋体"/>
                <w:color w:val="000000"/>
                <w:szCs w:val="21"/>
              </w:rPr>
            </w:pPr>
          </w:p>
        </w:tc>
      </w:tr>
      <w:tr w14:paraId="0E92F3FC">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0B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3D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自动门门机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2F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直流无刷电机（KEYTEX）</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8F1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2476">
            <w:pPr>
              <w:jc w:val="center"/>
              <w:rPr>
                <w:rFonts w:ascii="宋体" w:hAnsi="宋体" w:cs="宋体"/>
                <w:color w:val="000000"/>
                <w:szCs w:val="21"/>
              </w:rPr>
            </w:pPr>
          </w:p>
        </w:tc>
      </w:tr>
      <w:tr w14:paraId="6755AD20">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EA2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720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自动门滑轨组件</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183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ANNY 1807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7C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16A1">
            <w:pPr>
              <w:jc w:val="center"/>
              <w:rPr>
                <w:rFonts w:ascii="宋体" w:hAnsi="宋体" w:cs="宋体"/>
                <w:color w:val="000000"/>
                <w:szCs w:val="21"/>
              </w:rPr>
            </w:pPr>
          </w:p>
        </w:tc>
      </w:tr>
      <w:tr w14:paraId="17862FC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40A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459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自动门控制器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123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MICOM/EDM-MD</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1D2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D8AF">
            <w:pPr>
              <w:jc w:val="center"/>
              <w:rPr>
                <w:rFonts w:ascii="宋体" w:hAnsi="宋体" w:cs="宋体"/>
                <w:color w:val="000000"/>
                <w:szCs w:val="21"/>
              </w:rPr>
            </w:pPr>
          </w:p>
        </w:tc>
      </w:tr>
      <w:tr w14:paraId="0D960DF8">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2B8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B73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自动门门机总成</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382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ANNY1807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18D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4900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FD42">
            <w:pPr>
              <w:jc w:val="center"/>
              <w:rPr>
                <w:rFonts w:ascii="宋体" w:hAnsi="宋体" w:cs="宋体"/>
                <w:color w:val="000000"/>
                <w:szCs w:val="21"/>
              </w:rPr>
            </w:pPr>
          </w:p>
        </w:tc>
      </w:tr>
      <w:tr w14:paraId="3A59496F">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8A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5B7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风口网板</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935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600*600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61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6530">
            <w:pPr>
              <w:jc w:val="center"/>
              <w:rPr>
                <w:rFonts w:ascii="宋体" w:hAnsi="宋体" w:cs="宋体"/>
                <w:color w:val="000000"/>
                <w:szCs w:val="21"/>
              </w:rPr>
            </w:pPr>
          </w:p>
        </w:tc>
      </w:tr>
      <w:tr w14:paraId="7287AE0C">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6B6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08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亚克力板定制</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78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1191*973*4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823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37D4">
            <w:pPr>
              <w:jc w:val="center"/>
              <w:rPr>
                <w:rFonts w:ascii="宋体" w:hAnsi="宋体" w:cs="宋体"/>
                <w:color w:val="000000"/>
                <w:szCs w:val="21"/>
              </w:rPr>
            </w:pPr>
          </w:p>
        </w:tc>
      </w:tr>
      <w:tr w14:paraId="08FD299A">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448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F3A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亚克力板定制</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932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887*967*4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5B8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7272">
            <w:pPr>
              <w:jc w:val="center"/>
              <w:rPr>
                <w:rFonts w:ascii="宋体" w:hAnsi="宋体" w:cs="宋体"/>
                <w:color w:val="000000"/>
                <w:szCs w:val="21"/>
              </w:rPr>
            </w:pPr>
          </w:p>
        </w:tc>
      </w:tr>
      <w:tr w14:paraId="00442E61">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C7F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175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排风机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DC8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DPT15-42B</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31D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2055</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EBBB">
            <w:pPr>
              <w:jc w:val="center"/>
              <w:rPr>
                <w:rFonts w:ascii="宋体" w:hAnsi="宋体" w:cs="宋体"/>
                <w:color w:val="000000"/>
                <w:szCs w:val="21"/>
              </w:rPr>
            </w:pPr>
          </w:p>
        </w:tc>
      </w:tr>
      <w:tr w14:paraId="33114193">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20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DDA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排风机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79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DPT20-54B</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CF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2732</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B7FE">
            <w:pPr>
              <w:jc w:val="center"/>
              <w:rPr>
                <w:rFonts w:ascii="宋体" w:hAnsi="宋体" w:cs="宋体"/>
                <w:color w:val="000000"/>
                <w:szCs w:val="21"/>
              </w:rPr>
            </w:pPr>
          </w:p>
        </w:tc>
      </w:tr>
      <w:tr w14:paraId="474257BD">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CB0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C6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三相异步电动机</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77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WNM YX3-100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DF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2250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AB80">
            <w:pPr>
              <w:jc w:val="center"/>
              <w:rPr>
                <w:rFonts w:ascii="宋体" w:hAnsi="宋体" w:cs="宋体"/>
                <w:color w:val="000000"/>
                <w:szCs w:val="21"/>
              </w:rPr>
            </w:pPr>
          </w:p>
        </w:tc>
      </w:tr>
      <w:tr w14:paraId="5977704B">
        <w:tblPrEx>
          <w:tblCellMar>
            <w:top w:w="0" w:type="dxa"/>
            <w:left w:w="108" w:type="dxa"/>
            <w:bottom w:w="0" w:type="dxa"/>
            <w:right w:w="108" w:type="dxa"/>
          </w:tblCellMar>
        </w:tblPrEx>
        <w:trPr>
          <w:trHeight w:val="3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38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F4A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微压表（MAGRFHELIC）</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18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±30pa</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35A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640</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BA4C">
            <w:pPr>
              <w:jc w:val="center"/>
              <w:rPr>
                <w:rFonts w:ascii="宋体" w:hAnsi="宋体" w:cs="宋体"/>
                <w:color w:val="000000"/>
                <w:szCs w:val="21"/>
              </w:rPr>
            </w:pPr>
          </w:p>
        </w:tc>
      </w:tr>
      <w:tr w14:paraId="6E461937">
        <w:tblPrEx>
          <w:tblCellMar>
            <w:top w:w="0" w:type="dxa"/>
            <w:left w:w="108" w:type="dxa"/>
            <w:bottom w:w="0" w:type="dxa"/>
            <w:right w:w="108" w:type="dxa"/>
          </w:tblCellMar>
        </w:tblPrEx>
        <w:trPr>
          <w:trHeight w:val="3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344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CF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单口洗眼器</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7D4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ANMON/单口</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71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688</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A8A4">
            <w:pPr>
              <w:jc w:val="center"/>
              <w:rPr>
                <w:rFonts w:ascii="宋体" w:hAnsi="宋体" w:cs="宋体"/>
                <w:color w:val="000000"/>
                <w:szCs w:val="21"/>
              </w:rPr>
            </w:pPr>
          </w:p>
        </w:tc>
      </w:tr>
    </w:tbl>
    <w:p w14:paraId="7A9DB92C">
      <w:pPr>
        <w:rPr>
          <w:rFonts w:ascii="Times New Roman" w:hAnsi="Times New Roman"/>
          <w:b/>
          <w:szCs w:val="24"/>
        </w:rPr>
      </w:pPr>
    </w:p>
    <w:p w14:paraId="7EF2821B">
      <w:pPr>
        <w:keepNext w:val="0"/>
        <w:keepLines w:val="0"/>
        <w:pageBreakBefore w:val="0"/>
        <w:widowControl w:val="0"/>
        <w:kinsoku/>
        <w:wordWrap/>
        <w:overflowPunct/>
        <w:topLinePunct w:val="0"/>
        <w:autoSpaceDE/>
        <w:autoSpaceDN/>
        <w:bidi w:val="0"/>
        <w:adjustRightInd w:val="0"/>
        <w:snapToGrid/>
        <w:spacing w:before="156" w:beforeLines="50" w:after="156" w:afterLines="50"/>
        <w:jc w:val="center"/>
        <w:textAlignment w:val="baseline"/>
        <w:outlineLvl w:val="1"/>
        <w:rPr>
          <w:rFonts w:ascii="宋体" w:hAnsi="宋体"/>
          <w:b/>
          <w:bCs/>
          <w:kern w:val="0"/>
          <w:sz w:val="28"/>
          <w:szCs w:val="28"/>
        </w:rPr>
      </w:pPr>
      <w:r>
        <w:rPr>
          <w:rFonts w:hint="eastAsia" w:ascii="宋体" w:hAnsi="宋体"/>
          <w:b/>
          <w:bCs/>
          <w:kern w:val="0"/>
          <w:sz w:val="28"/>
          <w:szCs w:val="28"/>
        </w:rPr>
        <w:t>五、项目商务要求</w:t>
      </w:r>
    </w:p>
    <w:p w14:paraId="6219E771">
      <w:pPr>
        <w:pStyle w:val="215"/>
        <w:keepNext w:val="0"/>
        <w:keepLines w:val="0"/>
        <w:pageBreakBefore w:val="0"/>
        <w:widowControl w:val="0"/>
        <w:kinsoku/>
        <w:wordWrap/>
        <w:overflowPunct/>
        <w:topLinePunct w:val="0"/>
        <w:autoSpaceDE/>
        <w:autoSpaceDN/>
        <w:bidi w:val="0"/>
        <w:snapToGrid/>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6A494AF6">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lang w:val="en-US" w:eastAsia="zh-CN"/>
        </w:rPr>
        <w:t>1.</w:t>
      </w:r>
      <w:r>
        <w:rPr>
          <w:rFonts w:hint="eastAsia" w:asciiTheme="minorEastAsia" w:hAnsiTheme="minorEastAsia" w:eastAsiaTheme="minorEastAsia"/>
          <w:b/>
          <w:highlight w:val="yellow"/>
        </w:rPr>
        <w:t>自合同签订之日起一年。本项目为长期服务项目，合同累计履行期限最长不得超过三十六个月。服务期满后采购人可根据项目需求和中标人履约情况选择是否续签合同，最多续签两次，合同一年一签。</w:t>
      </w:r>
    </w:p>
    <w:p w14:paraId="4B4C6039">
      <w:pPr>
        <w:pStyle w:val="215"/>
        <w:keepNext w:val="0"/>
        <w:keepLines w:val="0"/>
        <w:pageBreakBefore w:val="0"/>
        <w:widowControl w:val="0"/>
        <w:kinsoku/>
        <w:wordWrap/>
        <w:overflowPunct/>
        <w:topLinePunct w:val="0"/>
        <w:autoSpaceDE/>
        <w:autoSpaceDN/>
        <w:bidi w:val="0"/>
        <w:snapToGrid/>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29EFC83F">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2"/>
        <w:rPr>
          <w:rFonts w:eastAsia="宋体" w:asciiTheme="minorEastAsia" w:hAnsiTheme="minorEastAsia"/>
          <w:b/>
        </w:rPr>
      </w:pPr>
      <w:r>
        <w:rPr>
          <w:rFonts w:hint="eastAsia" w:ascii="宋体" w:hAnsi="宋体" w:eastAsia="宋体"/>
          <w:szCs w:val="21"/>
          <w:lang w:val="en-US" w:eastAsia="zh-CN"/>
        </w:rPr>
        <w:t>1.</w:t>
      </w:r>
      <w:r>
        <w:rPr>
          <w:rFonts w:hint="eastAsia" w:ascii="宋体" w:hAnsi="宋体" w:eastAsia="宋体"/>
          <w:szCs w:val="21"/>
        </w:rPr>
        <w:t>深圳市儿童医院两院区。</w:t>
      </w:r>
    </w:p>
    <w:p w14:paraId="5A8ACD05">
      <w:pPr>
        <w:pStyle w:val="215"/>
        <w:keepNext w:val="0"/>
        <w:keepLines w:val="0"/>
        <w:pageBreakBefore w:val="0"/>
        <w:widowControl w:val="0"/>
        <w:kinsoku/>
        <w:wordWrap/>
        <w:overflowPunct/>
        <w:topLinePunct w:val="0"/>
        <w:autoSpaceDE/>
        <w:autoSpaceDN/>
        <w:bidi w:val="0"/>
        <w:snapToGrid/>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5B4D1C9B">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2"/>
        <w:rPr>
          <w:rFonts w:hint="eastAsia" w:ascii="宋体" w:hAnsi="宋体" w:eastAsia="宋体"/>
          <w:szCs w:val="21"/>
        </w:rPr>
      </w:pPr>
      <w:r>
        <w:rPr>
          <w:rFonts w:hint="eastAsia" w:ascii="宋体" w:hAnsi="宋体" w:eastAsia="宋体"/>
          <w:szCs w:val="21"/>
        </w:rPr>
        <w:t>1.投标总价包含采购范围内各系统设备运行值班、维修保养人工费；定期清洗、更换净化机组的初、中效过滤器材料及服务费；技术支持服务费；管理费、人工费、各项税费；单次单项维修更换小于200元及以下配件费（灯管、冷冻油、制冷剂等消耗品除外）。200元（不含）以上</w:t>
      </w:r>
      <w:r>
        <w:rPr>
          <w:rFonts w:hint="eastAsia" w:ascii="宋体" w:hAnsi="宋体" w:eastAsia="宋体"/>
          <w:b/>
          <w:bCs/>
          <w:szCs w:val="21"/>
        </w:rPr>
        <w:t>（详见“</w:t>
      </w:r>
      <w:r>
        <w:rPr>
          <w:rFonts w:hint="eastAsia" w:ascii="宋体" w:hAnsi="宋体" w:eastAsia="宋体"/>
          <w:b/>
          <w:bCs/>
          <w:szCs w:val="21"/>
          <w:lang w:eastAsia="zh-CN"/>
        </w:rPr>
        <w:t>8、200元以上材料及配件清单</w:t>
      </w:r>
      <w:r>
        <w:rPr>
          <w:rFonts w:hint="eastAsia" w:ascii="宋体" w:hAnsi="宋体" w:eastAsia="宋体"/>
          <w:b/>
          <w:bCs/>
          <w:szCs w:val="21"/>
        </w:rPr>
        <w:t>”）</w:t>
      </w:r>
      <w:r>
        <w:rPr>
          <w:rFonts w:hint="eastAsia" w:ascii="宋体" w:hAnsi="宋体" w:eastAsia="宋体"/>
          <w:szCs w:val="21"/>
        </w:rPr>
        <w:t>的由投标人负责提供规格型号及技术参数报价给采购人</w:t>
      </w:r>
      <w:r>
        <w:rPr>
          <w:rFonts w:hint="eastAsia" w:ascii="宋体" w:hAnsi="宋体" w:eastAsia="宋体"/>
          <w:szCs w:val="21"/>
          <w:lang w:eastAsia="zh-CN"/>
        </w:rPr>
        <w:t>，经采购人同意后进行维修更换</w:t>
      </w:r>
      <w:r>
        <w:rPr>
          <w:rFonts w:hint="eastAsia" w:ascii="宋体" w:hAnsi="宋体" w:eastAsia="宋体"/>
          <w:szCs w:val="21"/>
        </w:rPr>
        <w:t>，由采购人采购的，投标人负责安装。属质保期内责任的，协助采购人向建设单位跟进、追溯等。</w:t>
      </w:r>
    </w:p>
    <w:p w14:paraId="484BA2A5">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2"/>
        <w:rPr>
          <w:rFonts w:hint="eastAsia"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投标总价包含本项目的所有人工费用及200元及以下的维修材料及配件费用（灯管、冷冻油、制冷剂等消耗品除外）；200元（不含）以上材料及配件费用不包含在投标总价中，经院方同意后进行维修更换</w:t>
      </w:r>
      <w:r>
        <w:rPr>
          <w:rFonts w:hint="eastAsia" w:ascii="宋体" w:hAnsi="宋体" w:eastAsia="宋体"/>
          <w:b/>
          <w:bCs/>
          <w:szCs w:val="21"/>
        </w:rPr>
        <w:t>（详见“</w:t>
      </w:r>
      <w:r>
        <w:rPr>
          <w:rFonts w:hint="eastAsia" w:ascii="宋体" w:hAnsi="宋体" w:eastAsia="宋体"/>
          <w:b/>
          <w:bCs/>
          <w:szCs w:val="21"/>
          <w:lang w:eastAsia="zh-CN"/>
        </w:rPr>
        <w:t>8、200元以上材料及配件清单</w:t>
      </w:r>
      <w:r>
        <w:rPr>
          <w:rFonts w:hint="eastAsia" w:ascii="宋体" w:hAnsi="宋体" w:eastAsia="宋体"/>
          <w:b/>
          <w:bCs/>
          <w:szCs w:val="21"/>
        </w:rPr>
        <w:t>”）</w:t>
      </w:r>
      <w:r>
        <w:rPr>
          <w:rFonts w:hint="eastAsia" w:ascii="宋体" w:hAnsi="宋体" w:eastAsia="宋体"/>
          <w:szCs w:val="21"/>
        </w:rPr>
        <w:t>。</w:t>
      </w:r>
    </w:p>
    <w:p w14:paraId="0F6A3C9D">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2"/>
        <w:rPr>
          <w:rFonts w:hint="eastAsia"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投标报价包含定期更换初、中、亚高效和回风、排风过滤器，不包含高效过滤器更换费用，高效过滤器更换不包含在本项目服务内容中。</w:t>
      </w:r>
    </w:p>
    <w:p w14:paraId="65F9F090">
      <w:pPr>
        <w:pStyle w:val="215"/>
        <w:keepNext w:val="0"/>
        <w:keepLines w:val="0"/>
        <w:pageBreakBefore w:val="0"/>
        <w:widowControl w:val="0"/>
        <w:kinsoku/>
        <w:wordWrap/>
        <w:overflowPunct/>
        <w:topLinePunct w:val="0"/>
        <w:autoSpaceDE/>
        <w:autoSpaceDN/>
        <w:bidi w:val="0"/>
        <w:snapToGrid/>
        <w:spacing w:beforeLines="0" w:line="360" w:lineRule="auto"/>
        <w:ind w:firstLine="426" w:firstLineChars="202"/>
        <w:rPr>
          <w:rFonts w:hint="eastAsia" w:ascii="宋体" w:hAnsi="宋体" w:eastAsia="宋体"/>
          <w:szCs w:val="21"/>
          <w:lang w:val="en-US" w:eastAsia="zh-CN"/>
        </w:rPr>
      </w:pPr>
      <w:r>
        <w:rPr>
          <w:rFonts w:hint="eastAsia" w:ascii="宋体" w:hAnsi="宋体" w:eastAsia="宋体" w:cs="宋体"/>
          <w:b/>
          <w:bCs/>
          <w:szCs w:val="21"/>
          <w:highlight w:val="yellow"/>
          <w:lang w:val="en-US" w:eastAsia="zh-CN"/>
        </w:rPr>
        <w:t>★4.投标人需按照《详细分项报价清单》的要求进行分项报价，各分项报价不得超过其最高限价，各分项报价的合计金额与开标一览表中的投标总价金额必须一致，否则将导致投标无效。</w:t>
      </w:r>
    </w:p>
    <w:p w14:paraId="2FEE000B">
      <w:pPr>
        <w:pStyle w:val="215"/>
        <w:keepNext w:val="0"/>
        <w:keepLines w:val="0"/>
        <w:pageBreakBefore w:val="0"/>
        <w:widowControl w:val="0"/>
        <w:kinsoku/>
        <w:wordWrap/>
        <w:overflowPunct/>
        <w:topLinePunct w:val="0"/>
        <w:autoSpaceDE/>
        <w:autoSpaceDN/>
        <w:bidi w:val="0"/>
        <w:snapToGrid/>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0FB6CAD9">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2"/>
        <w:rPr>
          <w:rFonts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w:t>
      </w:r>
      <w:r>
        <w:rPr>
          <w:rFonts w:hint="eastAsia" w:ascii="宋体" w:hAnsi="宋体" w:eastAsia="宋体"/>
          <w:szCs w:val="21"/>
        </w:rPr>
        <w:t>根据实际服务情况，按季度支付。</w:t>
      </w:r>
    </w:p>
    <w:p w14:paraId="55DA14A5">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2"/>
        <w:rPr>
          <w:rFonts w:ascii="宋体" w:hAnsi="宋体" w:eastAsia="宋体"/>
          <w:color w:val="auto"/>
          <w:szCs w:val="21"/>
        </w:rPr>
      </w:pPr>
      <w:r>
        <w:rPr>
          <w:rFonts w:hint="eastAsia" w:ascii="宋体" w:hAnsi="宋体" w:eastAsia="宋体"/>
          <w:szCs w:val="21"/>
        </w:rPr>
        <w:t>2</w:t>
      </w:r>
      <w:r>
        <w:rPr>
          <w:rFonts w:hint="eastAsia" w:ascii="宋体" w:hAnsi="宋体" w:eastAsia="宋体"/>
          <w:szCs w:val="21"/>
          <w:lang w:val="en-US" w:eastAsia="zh-CN"/>
        </w:rPr>
        <w:t>.</w:t>
      </w:r>
      <w:r>
        <w:rPr>
          <w:rFonts w:hint="eastAsia" w:ascii="宋体" w:hAnsi="宋体" w:eastAsia="宋体"/>
          <w:szCs w:val="21"/>
        </w:rPr>
        <w:t>龙华院区由于医院开</w:t>
      </w:r>
      <w:r>
        <w:rPr>
          <w:rFonts w:hint="eastAsia" w:ascii="宋体" w:hAnsi="宋体" w:eastAsia="宋体"/>
          <w:color w:val="auto"/>
          <w:szCs w:val="21"/>
        </w:rPr>
        <w:t>业后，各科室会陆续开科，维保费用按开科的实际数量及开科时间按时结算，具体双方商议。</w:t>
      </w:r>
    </w:p>
    <w:p w14:paraId="44019A3B">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2"/>
        <w:rPr>
          <w:rFonts w:ascii="宋体" w:hAnsi="宋体" w:eastAsia="宋体"/>
          <w:szCs w:val="21"/>
        </w:rPr>
      </w:pPr>
      <w:r>
        <w:rPr>
          <w:rFonts w:hint="eastAsia" w:ascii="宋体" w:hAnsi="宋体" w:eastAsia="宋体"/>
          <w:color w:val="auto"/>
          <w:szCs w:val="21"/>
        </w:rPr>
        <w:t>3</w:t>
      </w:r>
      <w:r>
        <w:rPr>
          <w:rFonts w:hint="eastAsia" w:ascii="宋体" w:hAnsi="宋体" w:eastAsia="宋体"/>
          <w:color w:val="auto"/>
          <w:szCs w:val="21"/>
          <w:lang w:val="en-US" w:eastAsia="zh-CN"/>
        </w:rPr>
        <w:t>.</w:t>
      </w:r>
      <w:r>
        <w:rPr>
          <w:rFonts w:hint="eastAsia" w:ascii="宋体" w:hAnsi="宋体" w:eastAsia="宋体"/>
          <w:color w:val="auto"/>
          <w:szCs w:val="21"/>
        </w:rPr>
        <w:t>费用支付：由于龙华院区刚开业，开科较少，暂定进场后第一季度按投标总金额</w:t>
      </w:r>
      <w:r>
        <w:rPr>
          <w:rFonts w:ascii="宋体" w:hAnsi="宋体" w:eastAsia="宋体"/>
          <w:color w:val="auto"/>
          <w:szCs w:val="21"/>
        </w:rPr>
        <w:t>50%</w:t>
      </w:r>
      <w:r>
        <w:rPr>
          <w:rFonts w:hint="eastAsia" w:ascii="宋体" w:hAnsi="宋体" w:eastAsia="宋体"/>
          <w:color w:val="auto"/>
          <w:szCs w:val="21"/>
        </w:rPr>
        <w:t>的标准按季度支付维保费用，医院科室陆续开科使用，双方协商增加费用，每3个月进行核算。原则上开科率达到75%及以上时，按全额计算支付</w:t>
      </w:r>
      <w:r>
        <w:rPr>
          <w:rFonts w:hint="eastAsia" w:ascii="宋体" w:hAnsi="宋体" w:eastAsia="宋体"/>
          <w:szCs w:val="21"/>
        </w:rPr>
        <w:t>维保费用。</w:t>
      </w:r>
    </w:p>
    <w:p w14:paraId="695932AD">
      <w:pPr>
        <w:pStyle w:val="215"/>
        <w:keepNext w:val="0"/>
        <w:keepLines w:val="0"/>
        <w:pageBreakBefore w:val="0"/>
        <w:widowControl w:val="0"/>
        <w:kinsoku/>
        <w:wordWrap/>
        <w:overflowPunct/>
        <w:topLinePunct w:val="0"/>
        <w:autoSpaceDE/>
        <w:autoSpaceDN/>
        <w:bidi w:val="0"/>
        <w:snapToGrid/>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(五）人员配置要求</w:t>
      </w:r>
    </w:p>
    <w:p w14:paraId="0ED6CD86">
      <w:pPr>
        <w:pStyle w:val="215"/>
        <w:keepNext w:val="0"/>
        <w:keepLines w:val="0"/>
        <w:pageBreakBefore w:val="0"/>
        <w:widowControl w:val="0"/>
        <w:kinsoku/>
        <w:wordWrap/>
        <w:overflowPunct/>
        <w:topLinePunct w:val="0"/>
        <w:autoSpaceDE/>
        <w:autoSpaceDN/>
        <w:bidi w:val="0"/>
        <w:snapToGrid/>
        <w:spacing w:beforeLines="0" w:line="360" w:lineRule="auto"/>
        <w:ind w:firstLine="424" w:firstLineChars="202"/>
        <w:rPr>
          <w:rFonts w:ascii="宋体" w:hAnsi="宋体" w:eastAsia="宋体"/>
          <w:szCs w:val="21"/>
        </w:rPr>
      </w:pPr>
      <w:r>
        <w:rPr>
          <w:rFonts w:hint="eastAsia" w:ascii="宋体" w:hAnsi="宋体" w:eastAsia="宋体"/>
          <w:szCs w:val="21"/>
        </w:rPr>
        <w:t>▲1.现场人员：最低配备8人，其中项目负责人1人，现场维修人员7人。提供全年24小时现场技术服务，具有完成本项目的技术能力及相应工作经验。</w:t>
      </w:r>
    </w:p>
    <w:p w14:paraId="08AC94C8">
      <w:pPr>
        <w:keepNext w:val="0"/>
        <w:keepLines w:val="0"/>
        <w:pageBreakBefore w:val="0"/>
        <w:widowControl w:val="0"/>
        <w:kinsoku/>
        <w:wordWrap/>
        <w:overflowPunct/>
        <w:topLinePunct w:val="0"/>
        <w:autoSpaceDE/>
        <w:autoSpaceDN/>
        <w:bidi w:val="0"/>
        <w:snapToGrid/>
        <w:spacing w:before="78" w:beforeLines="25" w:after="78" w:afterLines="25" w:line="360" w:lineRule="auto"/>
        <w:ind w:firstLine="394" w:firstLineChars="187"/>
        <w:rPr>
          <w:rFonts w:ascii="宋体" w:hAnsi="宋体"/>
          <w:szCs w:val="21"/>
        </w:rPr>
      </w:pPr>
      <w:r>
        <w:rPr>
          <w:rFonts w:hint="eastAsia" w:ascii="宋体" w:hAnsi="宋体" w:eastAsia="宋体" w:cs="宋体"/>
          <w:b/>
          <w:bCs/>
          <w:szCs w:val="21"/>
          <w:highlight w:val="yellow"/>
        </w:rPr>
        <w:t>★2.人员素质：拟派本项目现场人员要求持有《中华人民共和国特种作业操作证》（操作项目：制冷与空调作业、低压电工作业、高处作业及熔化焊接与热切割作业），以上证书可分别持有，所需种类（操作项目）不得缺漏</w:t>
      </w:r>
      <w:r>
        <w:rPr>
          <w:rFonts w:hint="eastAsia" w:ascii="宋体" w:hAnsi="宋体" w:cs="宋体"/>
          <w:b/>
          <w:bCs/>
          <w:color w:val="FF0000"/>
          <w:szCs w:val="21"/>
          <w:highlight w:val="yellow"/>
          <w:lang w:eastAsia="zh-CN"/>
        </w:rPr>
        <w:t>【</w:t>
      </w:r>
      <w:r>
        <w:rPr>
          <w:rFonts w:hint="eastAsia" w:ascii="宋体" w:hAnsi="宋体" w:eastAsia="宋体" w:cs="宋体"/>
          <w:b/>
          <w:bCs/>
          <w:color w:val="FF0000"/>
          <w:szCs w:val="21"/>
          <w:highlight w:val="yellow"/>
        </w:rPr>
        <w:t>投标人</w:t>
      </w:r>
      <w:r>
        <w:rPr>
          <w:rFonts w:hint="eastAsia" w:ascii="宋体" w:hAnsi="宋体" w:eastAsia="宋体" w:cs="宋体"/>
          <w:b/>
          <w:bCs/>
          <w:color w:val="FF0000"/>
          <w:szCs w:val="21"/>
          <w:highlight w:val="yellow"/>
          <w:lang w:val="en-US" w:eastAsia="zh-CN"/>
        </w:rPr>
        <w:t>需</w:t>
      </w:r>
      <w:r>
        <w:rPr>
          <w:rFonts w:hint="eastAsia" w:ascii="宋体" w:hAnsi="宋体" w:eastAsia="宋体" w:cs="宋体"/>
          <w:b/>
          <w:bCs/>
          <w:color w:val="FF0000"/>
          <w:szCs w:val="21"/>
          <w:highlight w:val="yellow"/>
        </w:rPr>
        <w:t>提供承诺函</w:t>
      </w:r>
      <w:r>
        <w:rPr>
          <w:rFonts w:hint="eastAsia" w:ascii="宋体" w:hAnsi="宋体" w:eastAsia="宋体" w:cs="宋体"/>
          <w:b/>
          <w:bCs/>
          <w:color w:val="FF0000"/>
          <w:szCs w:val="21"/>
          <w:highlight w:val="yellow"/>
          <w:lang w:eastAsia="zh-CN"/>
        </w:rPr>
        <w:t>（</w:t>
      </w:r>
      <w:r>
        <w:rPr>
          <w:rFonts w:hint="eastAsia" w:ascii="宋体" w:hAnsi="宋体" w:eastAsia="宋体" w:cs="宋体"/>
          <w:b/>
          <w:bCs/>
          <w:color w:val="FF0000"/>
          <w:szCs w:val="21"/>
          <w:highlight w:val="yellow"/>
          <w:lang w:val="en-US" w:eastAsia="zh-CN"/>
        </w:rPr>
        <w:t>格式自拟</w:t>
      </w:r>
      <w:r>
        <w:rPr>
          <w:rFonts w:hint="eastAsia" w:ascii="宋体" w:hAnsi="宋体" w:eastAsia="宋体" w:cs="宋体"/>
          <w:b/>
          <w:bCs/>
          <w:color w:val="FF0000"/>
          <w:szCs w:val="21"/>
          <w:highlight w:val="yellow"/>
          <w:lang w:eastAsia="zh-CN"/>
        </w:rPr>
        <w:t>）</w:t>
      </w:r>
      <w:r>
        <w:rPr>
          <w:rFonts w:hint="eastAsia" w:ascii="宋体" w:hAnsi="宋体" w:eastAsia="宋体" w:cs="宋体"/>
          <w:b/>
          <w:bCs/>
          <w:color w:val="FF0000"/>
          <w:szCs w:val="21"/>
          <w:highlight w:val="yellow"/>
        </w:rPr>
        <w:t>，承诺中标后提供与要求一致的人员证书复印件，交采购人备案</w:t>
      </w:r>
      <w:r>
        <w:rPr>
          <w:rFonts w:hint="eastAsia" w:ascii="宋体" w:hAnsi="宋体" w:eastAsia="宋体" w:cs="宋体"/>
          <w:b/>
          <w:bCs/>
          <w:color w:val="FF0000"/>
          <w:szCs w:val="21"/>
          <w:highlight w:val="yellow"/>
          <w:lang w:eastAsia="zh-CN"/>
        </w:rPr>
        <w:t>，未提供承诺或承诺内容不满足要求的，</w:t>
      </w:r>
      <w:r>
        <w:rPr>
          <w:rFonts w:hint="eastAsia" w:ascii="宋体" w:hAnsi="宋体" w:eastAsia="宋体" w:cs="宋体"/>
          <w:b/>
          <w:bCs/>
          <w:color w:val="FF0000"/>
          <w:szCs w:val="21"/>
          <w:highlight w:val="yellow"/>
          <w:lang w:val="en-US" w:eastAsia="zh-CN"/>
        </w:rPr>
        <w:t>做投标无效处理</w:t>
      </w:r>
      <w:r>
        <w:rPr>
          <w:rFonts w:hint="eastAsia" w:ascii="宋体" w:hAnsi="宋体" w:cs="宋体"/>
          <w:b/>
          <w:bCs/>
          <w:color w:val="FF0000"/>
          <w:szCs w:val="21"/>
          <w:highlight w:val="yellow"/>
          <w:lang w:eastAsia="zh-CN"/>
        </w:rPr>
        <w:t>】</w:t>
      </w:r>
      <w:r>
        <w:rPr>
          <w:rFonts w:hint="eastAsia" w:ascii="宋体" w:hAnsi="宋体" w:eastAsia="宋体" w:cs="宋体"/>
          <w:b/>
          <w:bCs/>
          <w:szCs w:val="21"/>
          <w:highlight w:val="yellow"/>
        </w:rPr>
        <w:t>。</w:t>
      </w:r>
    </w:p>
    <w:p w14:paraId="4F67ADD0">
      <w:pPr>
        <w:spacing w:before="78" w:beforeLines="25" w:after="78" w:afterLines="25"/>
        <w:rPr>
          <w:rFonts w:ascii="宋体" w:hAnsi="宋体"/>
          <w:szCs w:val="21"/>
        </w:rPr>
      </w:pPr>
    </w:p>
    <w:p w14:paraId="1D20C63D">
      <w:pPr>
        <w:spacing w:before="78" w:beforeLines="25" w:after="78" w:afterLines="25"/>
        <w:rPr>
          <w:rFonts w:ascii="宋体" w:hAnsi="宋体"/>
          <w:szCs w:val="21"/>
        </w:rPr>
      </w:pPr>
    </w:p>
    <w:p w14:paraId="7008324F">
      <w:pPr>
        <w:widowControl/>
        <w:jc w:val="left"/>
        <w:rPr>
          <w:rFonts w:ascii="宋体" w:hAnsi="宋体"/>
          <w:szCs w:val="21"/>
        </w:rPr>
      </w:pPr>
      <w:r>
        <w:rPr>
          <w:rFonts w:ascii="宋体" w:hAnsi="宋体"/>
          <w:szCs w:val="21"/>
        </w:rPr>
        <w:br w:type="page"/>
      </w:r>
    </w:p>
    <w:p w14:paraId="492CD520">
      <w:pPr>
        <w:keepNext w:val="0"/>
        <w:keepLines w:val="0"/>
        <w:pageBreakBefore w:val="0"/>
        <w:widowControl w:val="0"/>
        <w:kinsoku/>
        <w:wordWrap/>
        <w:overflowPunct/>
        <w:topLinePunct w:val="0"/>
        <w:autoSpaceDE/>
        <w:autoSpaceDN/>
        <w:bidi w:val="0"/>
        <w:adjustRightInd w:val="0"/>
        <w:snapToGrid/>
        <w:spacing w:before="260" w:after="260"/>
        <w:jc w:val="center"/>
        <w:textAlignment w:val="baseline"/>
        <w:outlineLvl w:val="1"/>
        <w:rPr>
          <w:rFonts w:ascii="宋体" w:hAnsi="宋体"/>
          <w:b/>
          <w:bCs/>
          <w:sz w:val="24"/>
          <w:szCs w:val="20"/>
        </w:rPr>
      </w:pPr>
      <w:r>
        <w:rPr>
          <w:rFonts w:hint="eastAsia" w:ascii="宋体" w:hAnsi="宋体"/>
          <w:b/>
          <w:bCs/>
          <w:sz w:val="24"/>
          <w:szCs w:val="20"/>
        </w:rPr>
        <w:t>第三章</w:t>
      </w:r>
      <w:r>
        <w:rPr>
          <w:rFonts w:ascii="宋体" w:hAnsi="宋体"/>
          <w:b/>
          <w:bCs/>
          <w:sz w:val="24"/>
          <w:szCs w:val="20"/>
        </w:rPr>
        <w:t xml:space="preserve"> </w:t>
      </w:r>
      <w:r>
        <w:rPr>
          <w:rFonts w:hint="eastAsia" w:ascii="宋体" w:hAnsi="宋体"/>
          <w:b/>
          <w:bCs/>
          <w:sz w:val="24"/>
          <w:szCs w:val="20"/>
        </w:rPr>
        <w:t xml:space="preserve"> 投标文件格式、附件</w:t>
      </w:r>
    </w:p>
    <w:p w14:paraId="202D33FA">
      <w:pPr>
        <w:keepNext w:val="0"/>
        <w:keepLines w:val="0"/>
        <w:pageBreakBefore w:val="0"/>
        <w:widowControl w:val="0"/>
        <w:kinsoku/>
        <w:wordWrap/>
        <w:overflowPunct/>
        <w:topLinePunct w:val="0"/>
        <w:autoSpaceDE/>
        <w:autoSpaceDN/>
        <w:bidi w:val="0"/>
        <w:snapToGrid/>
        <w:rPr>
          <w:rFonts w:ascii="Times New Roman" w:hAnsi="Times New Roman"/>
          <w:b/>
          <w:bCs/>
          <w:sz w:val="24"/>
          <w:szCs w:val="32"/>
        </w:rPr>
      </w:pPr>
      <w:r>
        <w:rPr>
          <w:rFonts w:hint="eastAsia" w:ascii="Times New Roman" w:hAnsi="Times New Roman"/>
          <w:b/>
          <w:bCs/>
          <w:sz w:val="24"/>
          <w:szCs w:val="32"/>
        </w:rPr>
        <w:t>特别提醒：</w:t>
      </w:r>
    </w:p>
    <w:p w14:paraId="74EDECB6">
      <w:pPr>
        <w:keepNext w:val="0"/>
        <w:keepLines w:val="0"/>
        <w:pageBreakBefore w:val="0"/>
        <w:widowControl w:val="0"/>
        <w:kinsoku/>
        <w:wordWrap/>
        <w:overflowPunct/>
        <w:topLinePunct w:val="0"/>
        <w:autoSpaceDE/>
        <w:autoSpaceDN/>
        <w:bidi w:val="0"/>
        <w:snapToGrid/>
        <w:rPr>
          <w:rFonts w:ascii="Times New Roman" w:hAnsi="Times New Roman"/>
          <w:b/>
          <w:bCs/>
          <w:sz w:val="24"/>
          <w:szCs w:val="32"/>
        </w:rPr>
      </w:pPr>
    </w:p>
    <w:p w14:paraId="3A16F6BE">
      <w:pPr>
        <w:keepNext w:val="0"/>
        <w:keepLines w:val="0"/>
        <w:pageBreakBefore w:val="0"/>
        <w:widowControl w:val="0"/>
        <w:kinsoku/>
        <w:wordWrap/>
        <w:overflowPunct/>
        <w:topLinePunct w:val="0"/>
        <w:autoSpaceDE/>
        <w:autoSpaceDN/>
        <w:bidi w:val="0"/>
        <w:snapToGrid/>
        <w:ind w:firstLine="482" w:firstLineChars="200"/>
        <w:jc w:val="left"/>
        <w:rPr>
          <w:rFonts w:ascii="仿宋_GB2312" w:hAnsi="Times New Roman" w:eastAsia="仿宋_GB2312"/>
          <w:kern w:val="0"/>
          <w:sz w:val="24"/>
          <w:szCs w:val="24"/>
        </w:rPr>
      </w:pPr>
      <w:r>
        <w:rPr>
          <w:rFonts w:hint="eastAsia" w:ascii="仿宋_GB2312" w:hAnsi="Times New Roman" w:eastAsia="仿宋_GB2312"/>
          <w:b/>
          <w:kern w:val="0"/>
          <w:sz w:val="24"/>
          <w:szCs w:val="24"/>
        </w:rPr>
        <w:t>投标文件正文将对外公开，投标文件附件不公开。</w:t>
      </w:r>
      <w:r>
        <w:rPr>
          <w:rFonts w:hint="eastAsia" w:ascii="仿宋_GB2312" w:hAnsi="Times New Roman" w:eastAsia="仿宋_GB2312"/>
          <w:kern w:val="0"/>
          <w:sz w:val="24"/>
          <w:szCs w:val="24"/>
        </w:rPr>
        <w:t>投标人在编辑投标文件时，在投标文件目录中属于本节点内容的必须在本节点中填写，填写到其他节点或附件的将可能导致投标无效，一切后果由供应商自行承担。</w:t>
      </w:r>
    </w:p>
    <w:p w14:paraId="354AACC0">
      <w:pPr>
        <w:keepNext w:val="0"/>
        <w:keepLines w:val="0"/>
        <w:pageBreakBefore w:val="0"/>
        <w:widowControl w:val="0"/>
        <w:kinsoku/>
        <w:wordWrap/>
        <w:overflowPunct/>
        <w:topLinePunct w:val="0"/>
        <w:autoSpaceDE/>
        <w:autoSpaceDN/>
        <w:bidi w:val="0"/>
        <w:snapToGrid/>
        <w:jc w:val="left"/>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    投标人应按招标文件规定的“投标文件组成”编制投标文件正文（信息公开部分）和投标文件附件（信息不公开部分），举例如下图：</w:t>
      </w:r>
    </w:p>
    <w:p w14:paraId="16F2548A">
      <w:pPr>
        <w:keepNext w:val="0"/>
        <w:keepLines w:val="0"/>
        <w:pageBreakBefore w:val="0"/>
        <w:widowControl w:val="0"/>
        <w:kinsoku/>
        <w:wordWrap/>
        <w:overflowPunct/>
        <w:topLinePunct w:val="0"/>
        <w:autoSpaceDE/>
        <w:autoSpaceDN/>
        <w:bidi w:val="0"/>
        <w:snapToGrid/>
        <w:jc w:val="center"/>
        <w:rPr>
          <w:rFonts w:ascii="宋体" w:hAnsi="宋体" w:cs="宋体" w:eastAsiaTheme="minorEastAsia"/>
          <w:kern w:val="0"/>
          <w:sz w:val="24"/>
          <w:szCs w:val="24"/>
          <w:highlight w:val="green"/>
        </w:rPr>
      </w:pPr>
      <w:r>
        <w:rPr>
          <w:rFonts w:ascii="仿宋_GB2312" w:hAnsi="Times New Roman" w:eastAsia="仿宋_GB2312"/>
          <w:kern w:val="0"/>
          <w:sz w:val="24"/>
          <w:szCs w:val="24"/>
          <w:highlight w:val="green"/>
        </w:rPr>
        <w:drawing>
          <wp:inline distT="0" distB="0" distL="0" distR="0">
            <wp:extent cx="5278755" cy="4126230"/>
            <wp:effectExtent l="0" t="0" r="0" b="0"/>
            <wp:docPr id="2"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图形用户界面, 应用程序&#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755" cy="4126230"/>
                    </a:xfrm>
                    <a:prstGeom prst="rect">
                      <a:avLst/>
                    </a:prstGeom>
                    <a:noFill/>
                    <a:ln>
                      <a:noFill/>
                    </a:ln>
                  </pic:spPr>
                </pic:pic>
              </a:graphicData>
            </a:graphic>
          </wp:inline>
        </w:drawing>
      </w:r>
    </w:p>
    <w:p w14:paraId="3C8CCC59">
      <w:pPr>
        <w:keepNext w:val="0"/>
        <w:keepLines w:val="0"/>
        <w:pageBreakBefore w:val="0"/>
        <w:widowControl w:val="0"/>
        <w:kinsoku/>
        <w:wordWrap/>
        <w:overflowPunct/>
        <w:topLinePunct w:val="0"/>
        <w:autoSpaceDE/>
        <w:autoSpaceDN/>
        <w:bidi w:val="0"/>
        <w:snapToGrid/>
        <w:jc w:val="center"/>
        <w:rPr>
          <w:rFonts w:ascii="仿宋_GB2312" w:hAnsi="Times New Roman" w:eastAsia="仿宋_GB2312"/>
          <w:kern w:val="0"/>
          <w:sz w:val="24"/>
          <w:szCs w:val="24"/>
          <w:highlight w:val="green"/>
        </w:rPr>
      </w:pPr>
    </w:p>
    <w:p w14:paraId="6FBBADD0">
      <w:pPr>
        <w:keepNext w:val="0"/>
        <w:keepLines w:val="0"/>
        <w:pageBreakBefore w:val="0"/>
        <w:widowControl w:val="0"/>
        <w:kinsoku/>
        <w:wordWrap/>
        <w:overflowPunct/>
        <w:topLinePunct w:val="0"/>
        <w:autoSpaceDE/>
        <w:autoSpaceDN/>
        <w:bidi w:val="0"/>
        <w:snapToGrid/>
        <w:ind w:firstLine="480" w:firstLineChars="200"/>
        <w:jc w:val="left"/>
        <w:rPr>
          <w:rFonts w:ascii="仿宋_GB2312" w:hAnsi="Times New Roman" w:eastAsia="仿宋_GB2312"/>
          <w:b/>
          <w:kern w:val="0"/>
          <w:sz w:val="24"/>
          <w:szCs w:val="24"/>
        </w:rPr>
      </w:pPr>
      <w:bookmarkStart w:id="17" w:name="_Hlk72257167"/>
      <w:r>
        <w:rPr>
          <w:rFonts w:hint="eastAsia" w:ascii="仿宋_GB2312" w:hAnsi="Times New Roman" w:eastAsia="仿宋_GB2312"/>
          <w:kern w:val="0"/>
          <w:sz w:val="24"/>
          <w:szCs w:val="24"/>
        </w:rPr>
        <w:t>采购代理机构公布投标文件正文（信息公开部分）时为计算机截取信息自动公布，</w:t>
      </w:r>
      <w:r>
        <w:rPr>
          <w:rFonts w:hint="eastAsia" w:ascii="仿宋_GB2312" w:hAnsi="Times New Roman" w:eastAsia="仿宋_GB2312"/>
          <w:b/>
          <w:bCs/>
          <w:kern w:val="0"/>
          <w:sz w:val="24"/>
          <w:szCs w:val="24"/>
        </w:rPr>
        <w:t>如投标人误将涉及个人隐私或其他重要信息放入投标文件正文，相关后果由投标人自负；</w:t>
      </w:r>
      <w:r>
        <w:rPr>
          <w:rFonts w:hint="eastAsia" w:ascii="仿宋_GB2312" w:hAnsi="Times New Roman" w:eastAsia="仿宋_GB2312"/>
          <w:b/>
          <w:kern w:val="0"/>
          <w:sz w:val="24"/>
          <w:szCs w:val="24"/>
        </w:rPr>
        <w:t>如投标人将必须放于投标文件正文（信息公开部分）的内容放入投标文件附件（信息不公开部分），将作投标无效处理。</w:t>
      </w:r>
    </w:p>
    <w:bookmarkEnd w:id="17"/>
    <w:p w14:paraId="40A04506">
      <w:pPr>
        <w:keepNext w:val="0"/>
        <w:keepLines w:val="0"/>
        <w:pageBreakBefore w:val="0"/>
        <w:widowControl w:val="0"/>
        <w:kinsoku/>
        <w:wordWrap/>
        <w:overflowPunct/>
        <w:topLinePunct w:val="0"/>
        <w:autoSpaceDE/>
        <w:autoSpaceDN/>
        <w:bidi w:val="0"/>
        <w:snapToGrid/>
        <w:rPr>
          <w:rFonts w:ascii="仿宋_GB2312" w:hAnsi="Times New Roman" w:eastAsia="仿宋_GB2312"/>
          <w:sz w:val="24"/>
          <w:szCs w:val="24"/>
        </w:rPr>
      </w:pPr>
    </w:p>
    <w:p w14:paraId="46739B78">
      <w:pPr>
        <w:keepNext w:val="0"/>
        <w:keepLines w:val="0"/>
        <w:pageBreakBefore w:val="0"/>
        <w:widowControl w:val="0"/>
        <w:kinsoku/>
        <w:wordWrap/>
        <w:overflowPunct/>
        <w:topLinePunct w:val="0"/>
        <w:autoSpaceDE/>
        <w:autoSpaceDN/>
        <w:bidi w:val="0"/>
        <w:snapToGrid/>
        <w:rPr>
          <w:rFonts w:ascii="宋体" w:hAnsi="宋体"/>
          <w:sz w:val="24"/>
        </w:rPr>
      </w:pPr>
      <w:r>
        <w:rPr>
          <w:rFonts w:hint="eastAsia" w:ascii="宋体" w:hAnsi="宋体"/>
          <w:sz w:val="24"/>
        </w:rPr>
        <w:t>投标文件组成：</w:t>
      </w:r>
    </w:p>
    <w:p w14:paraId="208BEAA7">
      <w:pPr>
        <w:keepNext w:val="0"/>
        <w:keepLines w:val="0"/>
        <w:pageBreakBefore w:val="0"/>
        <w:widowControl w:val="0"/>
        <w:kinsoku/>
        <w:wordWrap/>
        <w:overflowPunct/>
        <w:topLinePunct w:val="0"/>
        <w:autoSpaceDE/>
        <w:autoSpaceDN/>
        <w:bidi w:val="0"/>
        <w:snapToGrid/>
        <w:ind w:firstLine="424" w:firstLineChars="202"/>
        <w:rPr>
          <w:rFonts w:ascii="宋体" w:hAnsi="宋体"/>
          <w:sz w:val="24"/>
        </w:rPr>
      </w:pPr>
      <w:r>
        <w:rPr>
          <w:rFonts w:hint="eastAsia" w:ascii="宋体" w:hAnsi="宋体"/>
        </w:rPr>
        <w:t>1.</w:t>
      </w:r>
      <w:r>
        <w:rPr>
          <w:rFonts w:hint="eastAsia" w:ascii="宋体" w:hAnsi="宋体"/>
          <w:b/>
        </w:rPr>
        <w:t>投标文件正文</w:t>
      </w:r>
      <w:r>
        <w:rPr>
          <w:rFonts w:hint="eastAsia" w:ascii="宋体" w:hAnsi="宋体"/>
          <w:b/>
          <w:szCs w:val="21"/>
        </w:rPr>
        <w:t>（信息公开部分）</w:t>
      </w:r>
      <w:r>
        <w:rPr>
          <w:rFonts w:hint="eastAsia" w:ascii="宋体" w:hAnsi="宋体"/>
        </w:rPr>
        <w:t>，主要</w:t>
      </w:r>
      <w:r>
        <w:rPr>
          <w:rFonts w:hint="eastAsia" w:ascii="宋体" w:hAnsi="宋体"/>
          <w:szCs w:val="21"/>
        </w:rPr>
        <w:t>包括以下内容：</w:t>
      </w:r>
    </w:p>
    <w:p w14:paraId="0FD27116">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（1）投标函</w:t>
      </w:r>
    </w:p>
    <w:p w14:paraId="30AEC3B4">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（2）资格响应文件</w:t>
      </w:r>
    </w:p>
    <w:p w14:paraId="1116B9B1">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（3）投标人情况介绍</w:t>
      </w:r>
    </w:p>
    <w:p w14:paraId="7935157C">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（4）符合政府采购扶持政策的证明材料</w:t>
      </w:r>
    </w:p>
    <w:p w14:paraId="4FD17E75">
      <w:pPr>
        <w:keepNext w:val="0"/>
        <w:keepLines w:val="0"/>
        <w:pageBreakBefore w:val="0"/>
        <w:widowControl w:val="0"/>
        <w:kinsoku/>
        <w:wordWrap/>
        <w:overflowPunct/>
        <w:topLinePunct w:val="0"/>
        <w:autoSpaceDE/>
        <w:autoSpaceDN/>
        <w:bidi w:val="0"/>
        <w:snapToGrid/>
        <w:rPr>
          <w:rFonts w:ascii="宋体" w:hAnsi="宋体"/>
          <w:sz w:val="24"/>
          <w:szCs w:val="24"/>
        </w:rPr>
      </w:pPr>
    </w:p>
    <w:p w14:paraId="0B41693F">
      <w:pPr>
        <w:keepNext w:val="0"/>
        <w:keepLines w:val="0"/>
        <w:pageBreakBefore w:val="0"/>
        <w:widowControl w:val="0"/>
        <w:kinsoku/>
        <w:wordWrap/>
        <w:overflowPunct/>
        <w:topLinePunct w:val="0"/>
        <w:autoSpaceDE/>
        <w:autoSpaceDN/>
        <w:bidi w:val="0"/>
        <w:snapToGrid/>
        <w:ind w:firstLine="424" w:firstLineChars="202"/>
        <w:rPr>
          <w:rFonts w:ascii="宋体" w:hAnsi="宋体"/>
          <w:szCs w:val="21"/>
        </w:rPr>
      </w:pPr>
    </w:p>
    <w:p w14:paraId="45BF629C">
      <w:pPr>
        <w:keepNext w:val="0"/>
        <w:keepLines w:val="0"/>
        <w:pageBreakBefore w:val="0"/>
        <w:widowControl w:val="0"/>
        <w:kinsoku/>
        <w:wordWrap/>
        <w:overflowPunct/>
        <w:topLinePunct w:val="0"/>
        <w:autoSpaceDE/>
        <w:autoSpaceDN/>
        <w:bidi w:val="0"/>
        <w:snapToGrid/>
        <w:ind w:firstLine="424" w:firstLineChars="202"/>
        <w:rPr>
          <w:rFonts w:ascii="宋体" w:hAnsi="宋体"/>
          <w:szCs w:val="21"/>
        </w:rPr>
      </w:pPr>
      <w:r>
        <w:rPr>
          <w:rFonts w:hint="eastAsia" w:ascii="宋体" w:hAnsi="宋体"/>
          <w:szCs w:val="21"/>
        </w:rPr>
        <w:t>2.</w:t>
      </w:r>
      <w:r>
        <w:rPr>
          <w:rFonts w:hint="eastAsia" w:ascii="宋体" w:hAnsi="宋体"/>
          <w:b/>
          <w:szCs w:val="21"/>
        </w:rPr>
        <w:t>投标文件附件（信息不公开部分）</w:t>
      </w:r>
      <w:r>
        <w:rPr>
          <w:rFonts w:hint="eastAsia" w:ascii="宋体" w:hAnsi="宋体"/>
          <w:szCs w:val="21"/>
        </w:rPr>
        <w:t>，主要包括以下内容：</w:t>
      </w:r>
    </w:p>
    <w:p w14:paraId="6E7F81BF">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（5）政府采购违法行为风险知悉确认书</w:t>
      </w:r>
    </w:p>
    <w:p w14:paraId="102712D3">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（6）法定代表人（负责人）资格证明书</w:t>
      </w:r>
    </w:p>
    <w:p w14:paraId="0E4EFEF2">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（7）投标文件签署授权委托书</w:t>
      </w:r>
    </w:p>
    <w:p w14:paraId="03E68888">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（8）实质性条款响应情况表</w:t>
      </w:r>
    </w:p>
    <w:p w14:paraId="54BA63FE">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（9）详细分项报价清单</w:t>
      </w:r>
    </w:p>
    <w:p w14:paraId="45F6EFE0">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（10）服务要求</w:t>
      </w:r>
      <w:r>
        <w:rPr>
          <w:rFonts w:ascii="宋体" w:hAnsi="宋体"/>
          <w:szCs w:val="21"/>
        </w:rPr>
        <w:t>偏离表</w:t>
      </w:r>
    </w:p>
    <w:p w14:paraId="43DC5094">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（11）</w:t>
      </w:r>
      <w:r>
        <w:rPr>
          <w:rFonts w:ascii="宋体" w:hAnsi="宋体"/>
          <w:szCs w:val="21"/>
        </w:rPr>
        <w:t>商务</w:t>
      </w:r>
      <w:r>
        <w:rPr>
          <w:rFonts w:hint="eastAsia" w:ascii="宋体" w:hAnsi="宋体"/>
          <w:szCs w:val="21"/>
        </w:rPr>
        <w:t>要求</w:t>
      </w:r>
      <w:r>
        <w:rPr>
          <w:rFonts w:ascii="宋体" w:hAnsi="宋体"/>
          <w:szCs w:val="21"/>
        </w:rPr>
        <w:t>偏离表</w:t>
      </w:r>
    </w:p>
    <w:p w14:paraId="77AD34CD">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hint="eastAsia" w:asciiTheme="minorEastAsia" w:hAnsiTheme="minorEastAsia" w:eastAsiaTheme="minorEastAsia"/>
          <w:szCs w:val="21"/>
        </w:rPr>
      </w:pPr>
      <w:r>
        <w:rPr>
          <w:rFonts w:hint="eastAsia" w:ascii="宋体" w:hAnsi="宋体"/>
          <w:szCs w:val="21"/>
        </w:rPr>
        <w:t>（12）</w:t>
      </w:r>
      <w:r>
        <w:rPr>
          <w:rFonts w:hint="eastAsia" w:asciiTheme="minorEastAsia" w:hAnsiTheme="minorEastAsia" w:eastAsiaTheme="minorEastAsia"/>
          <w:szCs w:val="21"/>
        </w:rPr>
        <w:t>项目服务方案</w:t>
      </w:r>
    </w:p>
    <w:p w14:paraId="3EA857AD">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项目重点难点分析、应对措施及相关的合理化建议</w:t>
      </w:r>
    </w:p>
    <w:p w14:paraId="2994CCF1">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质量保障措施及方案</w:t>
      </w:r>
    </w:p>
    <w:p w14:paraId="614DFB0C">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采购需求响应情况</w:t>
      </w:r>
    </w:p>
    <w:p w14:paraId="464AE815">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本项目的专用设备配置</w:t>
      </w:r>
    </w:p>
    <w:p w14:paraId="78130040">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拟派本项目的服务人数、服务人员素质</w:t>
      </w:r>
    </w:p>
    <w:p w14:paraId="35391D0A">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同类项目业绩情况</w:t>
      </w:r>
    </w:p>
    <w:p w14:paraId="41E486CF">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履约评价</w:t>
      </w:r>
    </w:p>
    <w:p w14:paraId="1741E937">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诚信评审</w:t>
      </w:r>
    </w:p>
    <w:p w14:paraId="67AEE608">
      <w:pPr>
        <w:keepNext w:val="0"/>
        <w:keepLines w:val="0"/>
        <w:pageBreakBefore w:val="0"/>
        <w:widowControl w:val="0"/>
        <w:kinsoku/>
        <w:wordWrap/>
        <w:overflowPunct/>
        <w:topLinePunct w:val="0"/>
        <w:autoSpaceDE/>
        <w:autoSpaceDN/>
        <w:bidi w:val="0"/>
        <w:snapToGrid/>
        <w:spacing w:before="78" w:beforeLines="25" w:after="78" w:afterLines="25"/>
        <w:ind w:firstLine="991" w:firstLineChars="472"/>
        <w:rPr>
          <w:rFonts w:ascii="宋体" w:hAnsi="宋体"/>
          <w:szCs w:val="21"/>
        </w:rPr>
      </w:pPr>
      <w:r>
        <w:rPr>
          <w:rFonts w:hint="eastAsia" w:ascii="宋体" w:hAnsi="宋体"/>
          <w:szCs w:val="21"/>
        </w:rPr>
        <w:t>（</w:t>
      </w:r>
      <w:r>
        <w:rPr>
          <w:rFonts w:hint="eastAsia" w:ascii="宋体" w:hAnsi="宋体"/>
          <w:szCs w:val="21"/>
          <w:lang w:val="en-US" w:eastAsia="zh-CN"/>
        </w:rPr>
        <w:t>21</w:t>
      </w:r>
      <w:r>
        <w:rPr>
          <w:rFonts w:hint="eastAsia" w:ascii="宋体" w:hAnsi="宋体"/>
          <w:szCs w:val="21"/>
        </w:rPr>
        <w:t>）招标文件要求的其它内容或投标人认为需要补充的资料</w:t>
      </w:r>
    </w:p>
    <w:p w14:paraId="3F4D7487">
      <w:pPr>
        <w:keepNext w:val="0"/>
        <w:keepLines w:val="0"/>
        <w:pageBreakBefore w:val="0"/>
        <w:widowControl w:val="0"/>
        <w:kinsoku/>
        <w:wordWrap/>
        <w:overflowPunct/>
        <w:topLinePunct w:val="0"/>
        <w:autoSpaceDE/>
        <w:autoSpaceDN/>
        <w:bidi w:val="0"/>
        <w:snapToGrid/>
        <w:spacing w:before="78" w:beforeLines="25" w:after="78" w:afterLines="25"/>
        <w:rPr>
          <w:rFonts w:ascii="宋体" w:hAnsi="宋体"/>
          <w:szCs w:val="21"/>
        </w:rPr>
      </w:pPr>
    </w:p>
    <w:p w14:paraId="1A2F37B6">
      <w:pPr>
        <w:keepNext w:val="0"/>
        <w:keepLines w:val="0"/>
        <w:pageBreakBefore w:val="0"/>
        <w:widowControl w:val="0"/>
        <w:kinsoku/>
        <w:wordWrap/>
        <w:overflowPunct/>
        <w:topLinePunct w:val="0"/>
        <w:autoSpaceDE/>
        <w:autoSpaceDN/>
        <w:bidi w:val="0"/>
        <w:snapToGrid/>
        <w:ind w:firstLine="487" w:firstLineChars="202"/>
        <w:jc w:val="left"/>
        <w:rPr>
          <w:rFonts w:ascii="宋体" w:hAnsi="宋体" w:eastAsiaTheme="minorEastAsia"/>
          <w:b/>
          <w:kern w:val="0"/>
          <w:sz w:val="24"/>
          <w:szCs w:val="21"/>
        </w:rPr>
      </w:pPr>
      <w:r>
        <w:rPr>
          <w:rFonts w:hint="eastAsia" w:ascii="宋体" w:hAnsi="宋体" w:eastAsiaTheme="minorEastAsia"/>
          <w:b/>
          <w:kern w:val="0"/>
          <w:sz w:val="24"/>
          <w:szCs w:val="21"/>
        </w:rPr>
        <w:t>备注：</w:t>
      </w:r>
    </w:p>
    <w:p w14:paraId="37B3C815">
      <w:pPr>
        <w:keepNext w:val="0"/>
        <w:keepLines w:val="0"/>
        <w:pageBreakBefore w:val="0"/>
        <w:widowControl w:val="0"/>
        <w:kinsoku/>
        <w:wordWrap/>
        <w:overflowPunct/>
        <w:topLinePunct w:val="0"/>
        <w:autoSpaceDE/>
        <w:autoSpaceDN/>
        <w:bidi w:val="0"/>
        <w:snapToGrid/>
        <w:ind w:firstLine="487" w:firstLineChars="202"/>
        <w:jc w:val="left"/>
        <w:rPr>
          <w:rFonts w:ascii="宋体" w:hAnsi="宋体" w:eastAsiaTheme="minorEastAsia"/>
          <w:b/>
          <w:kern w:val="0"/>
          <w:sz w:val="24"/>
          <w:szCs w:val="21"/>
        </w:rPr>
      </w:pPr>
      <w:r>
        <w:rPr>
          <w:rFonts w:hint="eastAsia" w:ascii="宋体" w:hAnsi="宋体" w:eastAsiaTheme="minorEastAsia"/>
          <w:b/>
          <w:kern w:val="0"/>
          <w:sz w:val="24"/>
          <w:szCs w:val="21"/>
        </w:rPr>
        <w:t>1.本项目为网上电子投标项目，投标文件不需法人或授权委托人另行签字，无需加盖单位公章，招标文件专用条款另有规定的除外。</w:t>
      </w:r>
    </w:p>
    <w:p w14:paraId="67D01F29">
      <w:pPr>
        <w:keepNext w:val="0"/>
        <w:keepLines w:val="0"/>
        <w:pageBreakBefore w:val="0"/>
        <w:widowControl w:val="0"/>
        <w:kinsoku/>
        <w:wordWrap/>
        <w:overflowPunct/>
        <w:topLinePunct w:val="0"/>
        <w:autoSpaceDE/>
        <w:autoSpaceDN/>
        <w:bidi w:val="0"/>
        <w:snapToGrid/>
        <w:ind w:firstLine="487" w:firstLineChars="202"/>
        <w:jc w:val="left"/>
        <w:rPr>
          <w:rFonts w:ascii="宋体" w:hAnsi="宋体" w:eastAsiaTheme="minorEastAsia"/>
          <w:b/>
          <w:kern w:val="0"/>
          <w:sz w:val="24"/>
          <w:szCs w:val="21"/>
        </w:rPr>
      </w:pPr>
      <w:r>
        <w:rPr>
          <w:rFonts w:hint="eastAsia" w:ascii="宋体" w:hAnsi="宋体" w:eastAsiaTheme="minorEastAsia"/>
          <w:b/>
          <w:kern w:val="0"/>
          <w:sz w:val="24"/>
          <w:szCs w:val="21"/>
        </w:rPr>
        <w:t>2.关于填写“开标一览表”的说明：“开标一览表”中除“投标报价”外，其他信息不作为评审依据。</w:t>
      </w:r>
    </w:p>
    <w:p w14:paraId="2910E1B1">
      <w:pPr>
        <w:widowControl/>
        <w:jc w:val="left"/>
        <w:rPr>
          <w:rFonts w:ascii="宋体" w:hAnsi="宋体"/>
          <w:szCs w:val="21"/>
        </w:rPr>
      </w:pPr>
      <w:r>
        <w:rPr>
          <w:rFonts w:ascii="宋体" w:hAnsi="宋体"/>
          <w:szCs w:val="21"/>
        </w:rPr>
        <w:br w:type="page"/>
      </w:r>
    </w:p>
    <w:p w14:paraId="5DB6F7A1">
      <w:pPr>
        <w:keepNext w:val="0"/>
        <w:keepLines w:val="0"/>
        <w:pageBreakBefore w:val="0"/>
        <w:widowControl w:val="0"/>
        <w:kinsoku/>
        <w:overflowPunct/>
        <w:topLinePunct w:val="0"/>
        <w:bidi w:val="0"/>
        <w:rPr>
          <w:rFonts w:ascii="仿宋_GB2312" w:hAnsi="Times New Roman" w:eastAsia="仿宋_GB2312"/>
          <w:b/>
          <w:color w:val="FF0000"/>
          <w:sz w:val="30"/>
          <w:szCs w:val="30"/>
        </w:rPr>
      </w:pPr>
      <w:r>
        <w:rPr>
          <w:rFonts w:hint="eastAsia" w:ascii="仿宋_GB2312" w:hAnsi="Times New Roman" w:eastAsia="仿宋_GB2312"/>
          <w:b/>
          <w:color w:val="FF0000"/>
          <w:sz w:val="30"/>
          <w:szCs w:val="30"/>
        </w:rPr>
        <w:t>投标文件正文（信息公开部分）：</w:t>
      </w:r>
    </w:p>
    <w:p w14:paraId="2046BB6F">
      <w:pPr>
        <w:pStyle w:val="6"/>
        <w:keepNext w:val="0"/>
        <w:keepLines w:val="0"/>
        <w:pageBreakBefore w:val="0"/>
        <w:widowControl w:val="0"/>
        <w:kinsoku/>
        <w:overflowPunct/>
        <w:topLinePunct w:val="0"/>
        <w:bidi w:val="0"/>
        <w:jc w:val="center"/>
        <w:rPr>
          <w:rFonts w:ascii="黑体" w:eastAsia="黑体"/>
          <w:b w:val="0"/>
          <w:sz w:val="24"/>
        </w:rPr>
      </w:pPr>
      <w:r>
        <w:rPr>
          <w:rFonts w:hint="eastAsia" w:ascii="黑体" w:eastAsia="黑体"/>
          <w:b w:val="0"/>
          <w:sz w:val="24"/>
        </w:rPr>
        <w:t>一、投标函</w:t>
      </w:r>
    </w:p>
    <w:p w14:paraId="43B4EC3D">
      <w:pPr>
        <w:keepNext w:val="0"/>
        <w:keepLines w:val="0"/>
        <w:pageBreakBefore w:val="0"/>
        <w:widowControl w:val="0"/>
        <w:kinsoku/>
        <w:overflowPunct/>
        <w:topLinePunct w:val="0"/>
        <w:bidi w:val="0"/>
        <w:spacing w:line="360" w:lineRule="auto"/>
        <w:rPr>
          <w:rFonts w:ascii="宋体" w:hAnsi="宋体"/>
          <w:szCs w:val="21"/>
        </w:rPr>
      </w:pPr>
      <w:r>
        <w:rPr>
          <w:rFonts w:hint="eastAsia" w:ascii="宋体" w:hAnsi="宋体"/>
          <w:szCs w:val="21"/>
        </w:rPr>
        <w:t xml:space="preserve">深圳市中正招标有限公司：  </w:t>
      </w:r>
    </w:p>
    <w:p w14:paraId="3845FF17">
      <w:pPr>
        <w:keepNext w:val="0"/>
        <w:keepLines w:val="0"/>
        <w:pageBreakBefore w:val="0"/>
        <w:widowControl w:val="0"/>
        <w:kinsoku/>
        <w:overflowPunct/>
        <w:topLinePunct w:val="0"/>
        <w:bidi w:val="0"/>
        <w:spacing w:after="156" w:afterLines="50"/>
        <w:ind w:firstLine="420" w:firstLineChars="200"/>
        <w:rPr>
          <w:szCs w:val="21"/>
        </w:rPr>
      </w:pPr>
      <w:r>
        <w:rPr>
          <w:rFonts w:hint="eastAsia"/>
          <w:szCs w:val="21"/>
        </w:rPr>
        <w:t>1.根据已收到贵方的（项目编号为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方经研究上述招标文件的专用条款及通用条款后，愿以投标书编制软件中《开标一览表》中填写的投标报价并按招标文件要求承包上述项目并修补其任何缺陷。</w:t>
      </w:r>
    </w:p>
    <w:p w14:paraId="5ED141A8">
      <w:pPr>
        <w:keepNext w:val="0"/>
        <w:keepLines w:val="0"/>
        <w:pageBreakBefore w:val="0"/>
        <w:widowControl w:val="0"/>
        <w:kinsoku/>
        <w:overflowPunct/>
        <w:topLinePunct w:val="0"/>
        <w:bidi w:val="0"/>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6562E10A">
      <w:pPr>
        <w:keepNext w:val="0"/>
        <w:keepLines w:val="0"/>
        <w:pageBreakBefore w:val="0"/>
        <w:widowControl w:val="0"/>
        <w:kinsoku/>
        <w:overflowPunct/>
        <w:topLinePunct w:val="0"/>
        <w:bidi w:val="0"/>
        <w:spacing w:after="156" w:afterLines="50"/>
        <w:ind w:firstLine="411" w:firstLineChars="196"/>
        <w:rPr>
          <w:rFonts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3C8A6ECF">
      <w:pPr>
        <w:keepNext w:val="0"/>
        <w:keepLines w:val="0"/>
        <w:pageBreakBefore w:val="0"/>
        <w:widowControl w:val="0"/>
        <w:kinsoku/>
        <w:overflowPunct/>
        <w:topLinePunct w:val="0"/>
        <w:bidi w:val="0"/>
        <w:spacing w:after="156" w:afterLines="50"/>
        <w:ind w:firstLine="411" w:firstLineChars="196"/>
        <w:rPr>
          <w:rFonts w:ascii="宋体" w:hAnsi="宋体"/>
          <w:szCs w:val="21"/>
        </w:rPr>
      </w:pPr>
      <w:r>
        <w:rPr>
          <w:rFonts w:hint="eastAsia" w:ascii="宋体" w:hAnsi="宋体"/>
          <w:szCs w:val="21"/>
        </w:rPr>
        <w:t>4.除非另外达成协议并生效，贵方的中标通知书和本投标文件将构成约束我们双方的合同。</w:t>
      </w:r>
    </w:p>
    <w:p w14:paraId="562B8B4F">
      <w:pPr>
        <w:keepNext w:val="0"/>
        <w:keepLines w:val="0"/>
        <w:pageBreakBefore w:val="0"/>
        <w:widowControl w:val="0"/>
        <w:kinsoku/>
        <w:overflowPunct/>
        <w:topLinePunct w:val="0"/>
        <w:bidi w:val="0"/>
        <w:spacing w:after="156" w:afterLines="50"/>
        <w:ind w:firstLine="411" w:firstLineChars="196"/>
        <w:rPr>
          <w:rFonts w:ascii="宋体" w:hAnsi="宋体"/>
          <w:szCs w:val="21"/>
        </w:rPr>
      </w:pPr>
      <w:r>
        <w:rPr>
          <w:rFonts w:hint="eastAsia" w:ascii="宋体" w:hAnsi="宋体"/>
          <w:szCs w:val="21"/>
        </w:rPr>
        <w:t>5.我方理解贵方将不受必须接受你们所收到的最低标价或其它任何投标文件的约束。</w:t>
      </w:r>
    </w:p>
    <w:p w14:paraId="3E410A47">
      <w:pPr>
        <w:keepNext w:val="0"/>
        <w:keepLines w:val="0"/>
        <w:pageBreakBefore w:val="0"/>
        <w:widowControl w:val="0"/>
        <w:kinsoku/>
        <w:overflowPunct/>
        <w:topLinePunct w:val="0"/>
        <w:bidi w:val="0"/>
        <w:spacing w:after="156" w:afterLines="50"/>
        <w:ind w:firstLine="411" w:firstLineChars="196"/>
        <w:rPr>
          <w:rFonts w:ascii="宋体" w:hAnsi="宋体"/>
          <w:szCs w:val="21"/>
        </w:rPr>
      </w:pPr>
      <w:r>
        <w:rPr>
          <w:rFonts w:hint="eastAsia" w:ascii="宋体" w:hAnsi="宋体"/>
          <w:szCs w:val="21"/>
        </w:rPr>
        <w:t>6.</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0DC4582">
      <w:pPr>
        <w:keepNext w:val="0"/>
        <w:keepLines w:val="0"/>
        <w:pageBreakBefore w:val="0"/>
        <w:widowControl w:val="0"/>
        <w:kinsoku/>
        <w:overflowPunct/>
        <w:topLinePunct w:val="0"/>
        <w:bidi w:val="0"/>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29077FF">
      <w:pPr>
        <w:keepNext w:val="0"/>
        <w:keepLines w:val="0"/>
        <w:pageBreakBefore w:val="0"/>
        <w:widowControl w:val="0"/>
        <w:kinsoku/>
        <w:overflowPunct/>
        <w:topLinePunct w:val="0"/>
        <w:bidi w:val="0"/>
        <w:ind w:left="540" w:leftChars="257"/>
        <w:rPr>
          <w:szCs w:val="21"/>
          <w:u w:val="single"/>
        </w:rPr>
      </w:pPr>
      <w:r>
        <w:rPr>
          <w:rFonts w:hint="eastAsia"/>
          <w:szCs w:val="21"/>
        </w:rPr>
        <w:t>法定代表人或其委托代理人：</w:t>
      </w:r>
      <w:r>
        <w:rPr>
          <w:rFonts w:hint="eastAsia"/>
          <w:szCs w:val="21"/>
          <w:u w:val="single"/>
        </w:rPr>
        <w:t xml:space="preserve">                   </w:t>
      </w:r>
    </w:p>
    <w:p w14:paraId="4D8815CC">
      <w:pPr>
        <w:keepNext w:val="0"/>
        <w:keepLines w:val="0"/>
        <w:pageBreakBefore w:val="0"/>
        <w:widowControl w:val="0"/>
        <w:kinsoku/>
        <w:overflowPunct/>
        <w:topLinePunct w:val="0"/>
        <w:bidi w:val="0"/>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656A4EC6">
      <w:pPr>
        <w:keepNext w:val="0"/>
        <w:keepLines w:val="0"/>
        <w:pageBreakBefore w:val="0"/>
        <w:widowControl w:val="0"/>
        <w:kinsoku/>
        <w:overflowPunct/>
        <w:topLinePunct w:val="0"/>
        <w:bidi w:val="0"/>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F194206">
      <w:pPr>
        <w:keepNext w:val="0"/>
        <w:keepLines w:val="0"/>
        <w:pageBreakBefore w:val="0"/>
        <w:widowControl w:val="0"/>
        <w:kinsoku/>
        <w:overflowPunct/>
        <w:topLinePunct w:val="0"/>
        <w:bidi w:val="0"/>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62BCD21">
      <w:pPr>
        <w:keepNext w:val="0"/>
        <w:keepLines w:val="0"/>
        <w:pageBreakBefore w:val="0"/>
        <w:widowControl w:val="0"/>
        <w:kinsoku/>
        <w:overflowPunct/>
        <w:topLinePunct w:val="0"/>
        <w:bidi w:val="0"/>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26402D93">
      <w:pPr>
        <w:keepNext w:val="0"/>
        <w:keepLines w:val="0"/>
        <w:pageBreakBefore w:val="0"/>
        <w:widowControl w:val="0"/>
        <w:kinsoku/>
        <w:overflowPunct/>
        <w:topLinePunct w:val="0"/>
        <w:bidi w:val="0"/>
        <w:ind w:firstLine="616" w:firstLineChars="257"/>
        <w:rPr>
          <w:sz w:val="24"/>
        </w:rPr>
      </w:pPr>
    </w:p>
    <w:p w14:paraId="34E972C0">
      <w:pPr>
        <w:keepNext w:val="0"/>
        <w:keepLines w:val="0"/>
        <w:pageBreakBefore w:val="0"/>
        <w:widowControl w:val="0"/>
        <w:kinsoku/>
        <w:overflowPunct/>
        <w:topLinePunct w:val="0"/>
        <w:bidi w:val="0"/>
        <w:rPr>
          <w:rFonts w:ascii="宋体" w:hAnsi="宋体"/>
          <w:szCs w:val="21"/>
        </w:rPr>
      </w:pPr>
      <w:r>
        <w:rPr>
          <w:rFonts w:hint="eastAsia"/>
          <w:szCs w:val="21"/>
          <w:u w:val="single"/>
        </w:rPr>
        <w:t>（备注：如联合体投标，投标人一栏仅需填写牵头人的名称）</w:t>
      </w:r>
    </w:p>
    <w:p w14:paraId="299A281E">
      <w:pPr>
        <w:keepNext w:val="0"/>
        <w:keepLines w:val="0"/>
        <w:pageBreakBefore w:val="0"/>
        <w:widowControl w:val="0"/>
        <w:kinsoku/>
        <w:overflowPunct/>
        <w:topLinePunct w:val="0"/>
        <w:bidi w:val="0"/>
        <w:ind w:firstLine="616" w:firstLineChars="257"/>
        <w:rPr>
          <w:sz w:val="24"/>
        </w:rPr>
      </w:pPr>
      <w:r>
        <w:rPr>
          <w:rFonts w:hint="eastAsia"/>
          <w:sz w:val="24"/>
        </w:rPr>
        <w:t xml:space="preserve">                          </w:t>
      </w:r>
    </w:p>
    <w:p w14:paraId="09C5103E">
      <w:pPr>
        <w:pStyle w:val="6"/>
        <w:keepNext w:val="0"/>
        <w:keepLines w:val="0"/>
        <w:pageBreakBefore w:val="0"/>
        <w:widowControl w:val="0"/>
        <w:kinsoku/>
        <w:overflowPunct/>
        <w:topLinePunct w:val="0"/>
        <w:bidi w:val="0"/>
        <w:jc w:val="center"/>
        <w:rPr>
          <w:rFonts w:ascii="黑体" w:eastAsia="黑体"/>
          <w:b w:val="0"/>
          <w:sz w:val="24"/>
        </w:rPr>
      </w:pPr>
      <w:r>
        <w:rPr>
          <w:rFonts w:hint="eastAsia" w:ascii="黑体" w:eastAsia="黑体"/>
          <w:b w:val="0"/>
          <w:sz w:val="24"/>
        </w:rPr>
        <w:t>二、资格响应文件</w:t>
      </w:r>
    </w:p>
    <w:p w14:paraId="77D1884A">
      <w:pPr>
        <w:keepNext w:val="0"/>
        <w:keepLines w:val="0"/>
        <w:pageBreakBefore w:val="0"/>
        <w:widowControl w:val="0"/>
        <w:kinsoku/>
        <w:overflowPunct/>
        <w:topLinePunct w:val="0"/>
        <w:bidi w:val="0"/>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ascii="Times New Roman" w:hAnsi="宋体"/>
          <w:szCs w:val="21"/>
        </w:rPr>
        <w:t>等证明材料</w:t>
      </w:r>
      <w:r>
        <w:rPr>
          <w:rFonts w:hint="eastAsia" w:ascii="宋体" w:hAnsi="宋体"/>
          <w:bCs/>
          <w:snapToGrid w:val="0"/>
          <w:kern w:val="0"/>
          <w:szCs w:val="21"/>
        </w:rPr>
        <w:t>（扫描件）</w:t>
      </w:r>
    </w:p>
    <w:p w14:paraId="3682A00F">
      <w:pPr>
        <w:keepNext w:val="0"/>
        <w:keepLines w:val="0"/>
        <w:pageBreakBefore w:val="0"/>
        <w:widowControl w:val="0"/>
        <w:kinsoku/>
        <w:overflowPunct/>
        <w:topLinePunct w:val="0"/>
        <w:bidi w:val="0"/>
        <w:adjustRightInd w:val="0"/>
        <w:snapToGrid w:val="0"/>
        <w:spacing w:line="360" w:lineRule="auto"/>
        <w:ind w:firstLine="424" w:firstLineChars="202"/>
        <w:rPr>
          <w:rFonts w:ascii="宋体" w:hAnsi="宋体"/>
          <w:szCs w:val="24"/>
        </w:rPr>
      </w:pPr>
      <w:r>
        <w:rPr>
          <w:rFonts w:hint="eastAsia" w:ascii="宋体" w:hAnsi="宋体"/>
          <w:bCs/>
          <w:snapToGrid w:val="0"/>
          <w:kern w:val="0"/>
          <w:szCs w:val="21"/>
        </w:rPr>
        <w:t>2、</w:t>
      </w:r>
      <w:r>
        <w:rPr>
          <w:rFonts w:hint="eastAsia" w:ascii="Times New Roman" w:hAnsi="Times New Roman"/>
          <w:szCs w:val="21"/>
        </w:rPr>
        <w:t>政府采购投标及履约承诺函</w:t>
      </w:r>
    </w:p>
    <w:p w14:paraId="7254AE35">
      <w:pPr>
        <w:keepNext w:val="0"/>
        <w:keepLines w:val="0"/>
        <w:pageBreakBefore w:val="0"/>
        <w:widowControl w:val="0"/>
        <w:kinsoku/>
        <w:overflowPunct/>
        <w:topLinePunct w:val="0"/>
        <w:bidi w:val="0"/>
        <w:adjustRightInd w:val="0"/>
        <w:snapToGrid w:val="0"/>
        <w:spacing w:line="360" w:lineRule="auto"/>
        <w:ind w:firstLine="424" w:firstLineChars="202"/>
        <w:rPr>
          <w:rFonts w:hint="eastAsia" w:ascii="宋体" w:hAnsi="宋体" w:eastAsia="宋体"/>
          <w:szCs w:val="24"/>
          <w:lang w:val="en-US" w:eastAsia="zh-CN"/>
        </w:rPr>
      </w:pPr>
      <w:r>
        <w:rPr>
          <w:rFonts w:hint="eastAsia" w:ascii="宋体" w:hAnsi="宋体"/>
          <w:szCs w:val="24"/>
          <w:lang w:val="en-US" w:eastAsia="zh-CN"/>
        </w:rPr>
        <w:t>3、</w:t>
      </w:r>
      <w:r>
        <w:rPr>
          <w:rFonts w:hint="eastAsia"/>
          <w:szCs w:val="21"/>
        </w:rPr>
        <w:t>《中小企业声明函》、《残疾人福利性单位声明函》或《监狱企业声明函》</w:t>
      </w:r>
    </w:p>
    <w:p w14:paraId="1DFAF030">
      <w:pPr>
        <w:keepNext w:val="0"/>
        <w:keepLines w:val="0"/>
        <w:pageBreakBefore w:val="0"/>
        <w:widowControl w:val="0"/>
        <w:kinsoku/>
        <w:overflowPunct/>
        <w:topLinePunct w:val="0"/>
        <w:bidi w:val="0"/>
        <w:adjustRightInd w:val="0"/>
        <w:snapToGrid w:val="0"/>
        <w:spacing w:line="360" w:lineRule="auto"/>
        <w:ind w:firstLine="424" w:firstLineChars="202"/>
        <w:rPr>
          <w:rFonts w:ascii="宋体" w:hAnsi="宋体"/>
          <w:szCs w:val="24"/>
        </w:rPr>
      </w:pPr>
      <w:r>
        <w:rPr>
          <w:rFonts w:hint="eastAsia" w:ascii="宋体" w:hAnsi="宋体"/>
          <w:szCs w:val="24"/>
          <w:lang w:val="en-US" w:eastAsia="zh-CN"/>
        </w:rPr>
        <w:t>4</w:t>
      </w:r>
      <w:r>
        <w:rPr>
          <w:rFonts w:hint="eastAsia" w:ascii="宋体" w:hAnsi="宋体"/>
          <w:szCs w:val="24"/>
        </w:rPr>
        <w:t>、其它资格证明材料（如有，按招标公告“申请人的资格要求”提供）</w:t>
      </w:r>
    </w:p>
    <w:p w14:paraId="3BF78E79">
      <w:pPr>
        <w:keepNext w:val="0"/>
        <w:keepLines w:val="0"/>
        <w:pageBreakBefore w:val="0"/>
        <w:widowControl w:val="0"/>
        <w:kinsoku/>
        <w:overflowPunct/>
        <w:topLinePunct w:val="0"/>
        <w:bidi w:val="0"/>
        <w:rPr>
          <w:szCs w:val="21"/>
          <w:u w:val="single"/>
        </w:rPr>
      </w:pPr>
    </w:p>
    <w:p w14:paraId="555AF857">
      <w:pPr>
        <w:keepNext w:val="0"/>
        <w:keepLines w:val="0"/>
        <w:pageBreakBefore w:val="0"/>
        <w:widowControl w:val="0"/>
        <w:kinsoku/>
        <w:overflowPunct/>
        <w:topLinePunct w:val="0"/>
        <w:bidi w:val="0"/>
        <w:rPr>
          <w:rFonts w:ascii="宋体" w:hAnsi="宋体"/>
          <w:szCs w:val="21"/>
        </w:rPr>
      </w:pPr>
      <w:r>
        <w:rPr>
          <w:rFonts w:hint="eastAsia"/>
          <w:szCs w:val="21"/>
          <w:u w:val="single"/>
        </w:rPr>
        <w:t>（备注：如联合体投标，联合体各方均应按要求提供资格响应文件）</w:t>
      </w:r>
    </w:p>
    <w:p w14:paraId="45D8CCA3">
      <w:pPr>
        <w:pStyle w:val="6"/>
        <w:keepNext w:val="0"/>
        <w:keepLines w:val="0"/>
        <w:pageBreakBefore w:val="0"/>
        <w:widowControl w:val="0"/>
        <w:kinsoku/>
        <w:overflowPunct/>
        <w:topLinePunct w:val="0"/>
        <w:bidi w:val="0"/>
        <w:jc w:val="center"/>
        <w:rPr>
          <w:rFonts w:ascii="黑体" w:eastAsia="黑体"/>
          <w:b w:val="0"/>
          <w:sz w:val="24"/>
        </w:rPr>
      </w:pPr>
    </w:p>
    <w:p w14:paraId="3E74C673">
      <w:pPr>
        <w:rPr>
          <w:rFonts w:hint="eastAsia" w:ascii="黑体" w:eastAsia="黑体"/>
          <w:b w:val="0"/>
          <w:sz w:val="24"/>
        </w:rPr>
      </w:pPr>
      <w:r>
        <w:rPr>
          <w:rFonts w:hint="eastAsia" w:ascii="黑体" w:eastAsia="黑体"/>
          <w:b w:val="0"/>
          <w:sz w:val="24"/>
        </w:rPr>
        <w:br w:type="page"/>
      </w:r>
    </w:p>
    <w:p w14:paraId="130CC16D">
      <w:pPr>
        <w:pStyle w:val="6"/>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eastAsia="黑体"/>
          <w:b w:val="0"/>
          <w:sz w:val="24"/>
        </w:rPr>
      </w:pPr>
      <w:r>
        <w:rPr>
          <w:rFonts w:hint="eastAsia" w:ascii="黑体" w:eastAsia="黑体"/>
          <w:b w:val="0"/>
          <w:sz w:val="24"/>
        </w:rPr>
        <w:t>政府采购投标及履约承诺函</w:t>
      </w:r>
    </w:p>
    <w:p w14:paraId="1969B0FE">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szCs w:val="21"/>
        </w:rPr>
      </w:pPr>
      <w:r>
        <w:rPr>
          <w:rFonts w:hint="eastAsia" w:ascii="宋体" w:hAnsi="宋体"/>
          <w:szCs w:val="21"/>
        </w:rPr>
        <w:t>深圳市中正招标有限公司：</w:t>
      </w:r>
    </w:p>
    <w:p w14:paraId="4F1B9F86">
      <w:pPr>
        <w:keepNext w:val="0"/>
        <w:keepLines w:val="0"/>
        <w:pageBreakBefore w:val="0"/>
        <w:widowControl w:val="0"/>
        <w:kinsoku/>
        <w:wordWrap/>
        <w:overflowPunct/>
        <w:topLinePunct w:val="0"/>
        <w:autoSpaceDE/>
        <w:autoSpaceDN/>
        <w:bidi w:val="0"/>
        <w:adjustRightInd/>
        <w:snapToGrid/>
        <w:spacing w:line="260" w:lineRule="exact"/>
        <w:ind w:right="-815" w:firstLine="420" w:firstLineChars="200"/>
        <w:textAlignment w:val="auto"/>
        <w:rPr>
          <w:rFonts w:ascii="宋体" w:hAnsi="宋体"/>
          <w:szCs w:val="21"/>
        </w:rPr>
      </w:pPr>
      <w:r>
        <w:rPr>
          <w:rFonts w:hint="eastAsia" w:ascii="宋体" w:hAnsi="宋体"/>
          <w:szCs w:val="21"/>
        </w:rPr>
        <w:t>我单位承诺：</w:t>
      </w:r>
    </w:p>
    <w:p w14:paraId="5CCABA37">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1.我单位满足《中华人民共和国政府采购法》第二十二条规定的下列条件：</w:t>
      </w:r>
    </w:p>
    <w:p w14:paraId="408A5231">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（一）具有独立承担民事责任的能力；</w:t>
      </w:r>
    </w:p>
    <w:p w14:paraId="7D8CD6E5">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（二）具有良好的商业信誉和健全的财务会计制度；</w:t>
      </w:r>
    </w:p>
    <w:p w14:paraId="4F81C04F">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（三）具有履行合同所必需的设备和专业技术能力；</w:t>
      </w:r>
    </w:p>
    <w:p w14:paraId="2AC3D777">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（四）有依法缴纳税收和社会保障资金的良好记录；</w:t>
      </w:r>
    </w:p>
    <w:p w14:paraId="530B2CAD">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（五）参加政府采购活动前三年内，在经营活动中没有重大违法记录；</w:t>
      </w:r>
    </w:p>
    <w:p w14:paraId="536227FB">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（六）法律、行政法规规定的其他条件。</w:t>
      </w:r>
    </w:p>
    <w:p w14:paraId="2CD2304C">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2.我单位参与本项目采购活动前三年内，在经营活动中没有重大违法记录，包括因违法经营受到刑事处罚或者责令停产停业、吊销许可证或者执照、较大数额罚款等行政处罚。</w:t>
      </w:r>
    </w:p>
    <w:p w14:paraId="0C72AE87">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3.我单位参与本项目政府采购活动时不存在被有关部门禁止参与政府采购活动且在有效期内的情况；与其他投标供应商不存在“单位负责人为同一人或者存在直接控股、管理关系”的情况；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ascii="宋体" w:hAnsi="宋体"/>
          <w:szCs w:val="21"/>
        </w:rPr>
        <w:t>。</w:t>
      </w:r>
    </w:p>
    <w:p w14:paraId="17E65F1E">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4.我单位承诺非联合体投标，不非法转包或分包，为本项目所提供的货物或服务未侵犯知识产权。</w:t>
      </w:r>
    </w:p>
    <w:p w14:paraId="06126ADC">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5.我单位承诺不存在《深圳市财政局政府采购供应商信用信息管理办法》（深财规〔2023〕3号）列明的严重违法失信行为。</w:t>
      </w:r>
    </w:p>
    <w:p w14:paraId="7ED9D5B1">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6.我单位参与该项目投标，严格遵循公平竞争的原则，不妨碍其他投标人的竞争行为，不损害采购人或者其他投标人的合法权益，与其他采购参加人不存在包括但不限于以下串通投标情形：</w:t>
      </w:r>
    </w:p>
    <w:p w14:paraId="619DFACC">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（1）投标供应商之间相互约定给予未中标的供应商利益补偿；</w:t>
      </w:r>
    </w:p>
    <w:p w14:paraId="5786C11C">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45A70485">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（3）不同投标供应商的投标文件由同一单位或者同一人编制，或者由同一人分阶段参与编制的；</w:t>
      </w:r>
    </w:p>
    <w:p w14:paraId="3819C5A6">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（4）不同投标供应商的投标文件或部分投标文件相互混装；</w:t>
      </w:r>
    </w:p>
    <w:p w14:paraId="0AE9816F">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（5）不同投标供应商的投标文件内容存在非正常一致；</w:t>
      </w:r>
    </w:p>
    <w:p w14:paraId="63115EDB">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（6）由同一单位工作人员为两家以上（含两家）供应商进行同一项投标活动的；</w:t>
      </w:r>
    </w:p>
    <w:p w14:paraId="28FF3C24">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（7）主管部门依照法律、法规认定的其他情形。</w:t>
      </w:r>
    </w:p>
    <w:p w14:paraId="44B7727F">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1CC992F4">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C412388">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899F1E8">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3589829C">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r>
        <w:rPr>
          <w:rFonts w:hint="eastAsia" w:ascii="宋体" w:hAnsi="宋体"/>
          <w:szCs w:val="21"/>
        </w:rPr>
        <w:t>以上承诺，如有违反，愿依照相关法律法规处理，并承担由此给采购人带来的损失。</w:t>
      </w:r>
    </w:p>
    <w:p w14:paraId="5AC91396">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p>
    <w:p w14:paraId="57E28D84">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szCs w:val="21"/>
        </w:rPr>
        <w:t xml:space="preserve">                             投标人：</w:t>
      </w:r>
    </w:p>
    <w:p w14:paraId="74CDBB49">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4169A2C">
      <w:pPr>
        <w:keepNext w:val="0"/>
        <w:keepLines w:val="0"/>
        <w:pageBreakBefore w:val="0"/>
        <w:widowControl w:val="0"/>
        <w:kinsoku/>
        <w:wordWrap/>
        <w:overflowPunct/>
        <w:topLinePunct w:val="0"/>
        <w:autoSpaceDE/>
        <w:autoSpaceDN/>
        <w:bidi w:val="0"/>
        <w:adjustRightInd/>
        <w:snapToGrid/>
        <w:spacing w:line="260" w:lineRule="exact"/>
        <w:ind w:firstLine="424" w:firstLineChars="202"/>
        <w:textAlignment w:val="auto"/>
        <w:rPr>
          <w:rFonts w:ascii="宋体" w:hAnsi="宋体"/>
          <w:szCs w:val="21"/>
        </w:rPr>
      </w:pPr>
    </w:p>
    <w:p w14:paraId="4F92FF2A">
      <w:pPr>
        <w:keepNext w:val="0"/>
        <w:keepLines w:val="0"/>
        <w:pageBreakBefore w:val="0"/>
        <w:widowControl w:val="0"/>
        <w:kinsoku/>
        <w:wordWrap/>
        <w:overflowPunct/>
        <w:topLinePunct w:val="0"/>
        <w:autoSpaceDE/>
        <w:autoSpaceDN/>
        <w:bidi w:val="0"/>
        <w:adjustRightInd/>
        <w:snapToGrid/>
        <w:spacing w:line="260" w:lineRule="exact"/>
        <w:textAlignment w:val="auto"/>
      </w:pPr>
    </w:p>
    <w:p w14:paraId="2B11D7A0">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szCs w:val="21"/>
        </w:rPr>
      </w:pPr>
      <w:r>
        <w:rPr>
          <w:rFonts w:hint="eastAsia"/>
          <w:szCs w:val="21"/>
          <w:u w:val="single"/>
        </w:rPr>
        <w:t>（备注：如联合体投标，投标人一栏需填写联合体各方的名称）</w:t>
      </w:r>
    </w:p>
    <w:p w14:paraId="2BCD3F10">
      <w:pPr>
        <w:keepNext w:val="0"/>
        <w:keepLines w:val="0"/>
        <w:pageBreakBefore w:val="0"/>
        <w:widowControl w:val="0"/>
        <w:kinsoku/>
        <w:overflowPunct/>
        <w:topLinePunct w:val="0"/>
        <w:bidi w:val="0"/>
      </w:pPr>
    </w:p>
    <w:p w14:paraId="222D51F0">
      <w:pPr>
        <w:keepNext w:val="0"/>
        <w:keepLines w:val="0"/>
        <w:pageBreakBefore w:val="0"/>
        <w:widowControl w:val="0"/>
        <w:kinsoku/>
        <w:wordWrap/>
        <w:overflowPunct/>
        <w:topLinePunct w:val="0"/>
        <w:autoSpaceDE/>
        <w:autoSpaceDN/>
        <w:bidi w:val="0"/>
        <w:adjustRightInd/>
        <w:snapToGrid/>
        <w:spacing w:before="260" w:after="260" w:line="240" w:lineRule="auto"/>
        <w:ind w:firstLine="480" w:firstLineChars="200"/>
        <w:jc w:val="center"/>
        <w:textAlignment w:val="auto"/>
        <w:rPr>
          <w:rFonts w:hint="eastAsia" w:ascii="宋体" w:hAnsi="宋体" w:eastAsia="宋体" w:cs="宋体"/>
          <w:snapToGrid w:val="0"/>
          <w:szCs w:val="18"/>
          <w:lang w:val="en-US" w:eastAsia="zh-CN"/>
        </w:rPr>
      </w:pPr>
      <w:r>
        <w:rPr>
          <w:rFonts w:hint="eastAsia" w:ascii="黑体" w:hAnsi="宋体" w:eastAsia="黑体" w:cs="Times New Roman"/>
          <w:b w:val="0"/>
          <w:bCs/>
          <w:kern w:val="0"/>
          <w:sz w:val="24"/>
          <w:szCs w:val="32"/>
          <w:lang w:val="en-US" w:eastAsia="zh-CN" w:bidi="ar-SA"/>
        </w:rPr>
        <w:t>《中小企业声明函》、《残疾人福利性单位声明函》或《监狱企业声明函》</w:t>
      </w:r>
    </w:p>
    <w:p w14:paraId="152B55AD">
      <w:pPr>
        <w:keepNext w:val="0"/>
        <w:keepLines w:val="0"/>
        <w:pageBreakBefore w:val="0"/>
        <w:widowControl w:val="0"/>
        <w:kinsoku/>
        <w:overflowPunct/>
        <w:topLinePunct w:val="0"/>
        <w:bidi w:val="0"/>
        <w:snapToGrid w:val="0"/>
        <w:spacing w:line="360" w:lineRule="auto"/>
        <w:jc w:val="left"/>
        <w:outlineLvl w:val="4"/>
        <w:rPr>
          <w:rFonts w:ascii="仿宋" w:hAnsi="仿宋" w:eastAsia="仿宋"/>
          <w:b/>
          <w:bCs/>
          <w:kern w:val="0"/>
          <w:sz w:val="25"/>
          <w:szCs w:val="25"/>
        </w:rPr>
      </w:pPr>
      <w:r>
        <w:rPr>
          <w:rFonts w:hint="eastAsia" w:ascii="仿宋" w:hAnsi="仿宋" w:eastAsia="仿宋"/>
          <w:b/>
          <w:bCs/>
          <w:kern w:val="0"/>
          <w:sz w:val="25"/>
          <w:szCs w:val="25"/>
        </w:rPr>
        <w:t>填写指引：</w:t>
      </w:r>
    </w:p>
    <w:p w14:paraId="06A415CC">
      <w:pPr>
        <w:keepNext w:val="0"/>
        <w:keepLines w:val="0"/>
        <w:pageBreakBefore w:val="0"/>
        <w:widowControl w:val="0"/>
        <w:kinsoku/>
        <w:overflowPunct/>
        <w:topLinePunct w:val="0"/>
        <w:bidi w:val="0"/>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432B79DA">
      <w:pPr>
        <w:keepNext w:val="0"/>
        <w:keepLines w:val="0"/>
        <w:pageBreakBefore w:val="0"/>
        <w:widowControl w:val="0"/>
        <w:kinsoku/>
        <w:overflowPunct/>
        <w:topLinePunct w:val="0"/>
        <w:bidi w:val="0"/>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6DBBAD5E">
      <w:pPr>
        <w:keepNext w:val="0"/>
        <w:keepLines w:val="0"/>
        <w:pageBreakBefore w:val="0"/>
        <w:widowControl w:val="0"/>
        <w:kinsoku/>
        <w:overflowPunct/>
        <w:topLinePunct w:val="0"/>
        <w:bidi w:val="0"/>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1FC41231">
      <w:pPr>
        <w:keepNext w:val="0"/>
        <w:keepLines w:val="0"/>
        <w:pageBreakBefore w:val="0"/>
        <w:widowControl w:val="0"/>
        <w:kinsoku/>
        <w:overflowPunct/>
        <w:topLinePunct w:val="0"/>
        <w:bidi w:val="0"/>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18" w:name="_Hlk71925120"/>
      <w:r>
        <w:rPr>
          <w:rFonts w:hint="eastAsia" w:asciiTheme="minorEastAsia" w:hAnsiTheme="minorEastAsia" w:eastAsiaTheme="minorEastAsia"/>
          <w:kern w:val="0"/>
          <w:szCs w:val="21"/>
        </w:rPr>
        <w:t>《关于印发中小企业划型标准规定的通知》（工信部联企业〔2011〕300 号</w:t>
      </w:r>
      <w:bookmarkEnd w:id="18"/>
      <w:r>
        <w:rPr>
          <w:rFonts w:hint="eastAsia" w:asciiTheme="minorEastAsia" w:hAnsiTheme="minorEastAsia" w:eastAsiaTheme="minorEastAsia"/>
          <w:kern w:val="0"/>
          <w:szCs w:val="21"/>
        </w:rPr>
        <w:t>）</w:t>
      </w:r>
    </w:p>
    <w:p w14:paraId="1A401446">
      <w:pPr>
        <w:keepNext w:val="0"/>
        <w:keepLines w:val="0"/>
        <w:pageBreakBefore w:val="0"/>
        <w:widowControl w:val="0"/>
        <w:kinsoku/>
        <w:overflowPunct/>
        <w:topLinePunct w:val="0"/>
        <w:bidi w:val="0"/>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1A704687">
      <w:pPr>
        <w:keepNext w:val="0"/>
        <w:keepLines w:val="0"/>
        <w:pageBreakBefore w:val="0"/>
        <w:widowControl w:val="0"/>
        <w:kinsoku/>
        <w:overflowPunct/>
        <w:topLinePunct w:val="0"/>
        <w:bidi w:val="0"/>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4DD1F92D">
      <w:pPr>
        <w:keepNext w:val="0"/>
        <w:keepLines w:val="0"/>
        <w:pageBreakBefore w:val="0"/>
        <w:widowControl w:val="0"/>
        <w:kinsoku/>
        <w:overflowPunct/>
        <w:topLinePunct w:val="0"/>
        <w:bidi w:val="0"/>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45015BCC">
      <w:pPr>
        <w:keepNext w:val="0"/>
        <w:keepLines w:val="0"/>
        <w:pageBreakBefore w:val="0"/>
        <w:widowControl w:val="0"/>
        <w:kinsoku/>
        <w:overflowPunct/>
        <w:topLinePunct w:val="0"/>
        <w:bidi w:val="0"/>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3、请依照招标文件提供的格式和内容填写声明函，不要随意变更格式；声明函不需要盖章或签字；满足多项优惠政策的投标人，不重复享受多项价格扣除政策。</w:t>
      </w:r>
    </w:p>
    <w:p w14:paraId="6C46A70D">
      <w:pPr>
        <w:keepNext w:val="0"/>
        <w:keepLines w:val="0"/>
        <w:pageBreakBefore w:val="0"/>
        <w:widowControl w:val="0"/>
        <w:kinsoku/>
        <w:overflowPunct/>
        <w:topLinePunct w:val="0"/>
        <w:bidi w:val="0"/>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6AA0115A">
      <w:pPr>
        <w:keepNext w:val="0"/>
        <w:keepLines w:val="0"/>
        <w:pageBreakBefore w:val="0"/>
        <w:widowControl w:val="0"/>
        <w:kinsoku/>
        <w:overflowPunct/>
        <w:topLinePunct w:val="0"/>
        <w:bidi w:val="0"/>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792D7C97">
      <w:pPr>
        <w:keepNext w:val="0"/>
        <w:keepLines w:val="0"/>
        <w:pageBreakBefore w:val="0"/>
        <w:widowControl w:val="0"/>
        <w:kinsoku/>
        <w:overflowPunct/>
        <w:topLinePunct w:val="0"/>
        <w:bidi w:val="0"/>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268245BE">
      <w:pPr>
        <w:keepNext w:val="0"/>
        <w:keepLines w:val="0"/>
        <w:pageBreakBefore w:val="0"/>
        <w:widowControl w:val="0"/>
        <w:kinsoku/>
        <w:overflowPunct/>
        <w:topLinePunct w:val="0"/>
        <w:bidi w:val="0"/>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w:t>
      </w:r>
      <w:r>
        <w:rPr>
          <w:rFonts w:hint="eastAsia" w:asciiTheme="minorEastAsia" w:hAnsiTheme="minorEastAsia" w:eastAsiaTheme="minorEastAsia"/>
          <w:b/>
          <w:color w:val="FF0000"/>
          <w:kern w:val="0"/>
          <w:szCs w:val="21"/>
        </w:rPr>
        <w:t>采购标的（货物或服务或工程）的具体名称</w:t>
      </w:r>
      <w:r>
        <w:rPr>
          <w:rFonts w:hint="eastAsia" w:asciiTheme="minorEastAsia" w:hAnsiTheme="minorEastAsia" w:eastAsiaTheme="minorEastAsia"/>
          <w:b/>
          <w:bCs/>
          <w:color w:val="FF0000"/>
          <w:kern w:val="0"/>
          <w:szCs w:val="21"/>
        </w:rPr>
        <w:t>（具体详见第二章招标项目需求，如涉及多项标的，投标人需逐项进行响应）</w:t>
      </w:r>
      <w:r>
        <w:rPr>
          <w:rFonts w:hint="eastAsia" w:asciiTheme="minorEastAsia" w:hAnsiTheme="minorEastAsia" w:eastAsiaTheme="minorEastAsia"/>
          <w:kern w:val="0"/>
          <w:szCs w:val="21"/>
        </w:rPr>
        <w:t>；</w:t>
      </w:r>
    </w:p>
    <w:p w14:paraId="111C0949">
      <w:pPr>
        <w:keepNext w:val="0"/>
        <w:keepLines w:val="0"/>
        <w:pageBreakBefore w:val="0"/>
        <w:widowControl w:val="0"/>
        <w:kinsoku/>
        <w:overflowPunct/>
        <w:topLinePunct w:val="0"/>
        <w:bidi w:val="0"/>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w:t>
      </w:r>
      <w:r>
        <w:rPr>
          <w:rFonts w:hint="eastAsia" w:asciiTheme="minorEastAsia" w:hAnsiTheme="minorEastAsia" w:eastAsiaTheme="minorEastAsia"/>
          <w:b/>
          <w:color w:val="FF0000"/>
          <w:kern w:val="0"/>
          <w:szCs w:val="21"/>
        </w:rPr>
        <w:t>采购文件规定的本项目所属行业</w:t>
      </w:r>
      <w:r>
        <w:rPr>
          <w:rFonts w:hint="eastAsia" w:asciiTheme="minorEastAsia" w:hAnsiTheme="minorEastAsia" w:eastAsiaTheme="minorEastAsia"/>
          <w:b/>
          <w:bCs/>
          <w:color w:val="FF0000"/>
          <w:kern w:val="0"/>
          <w:szCs w:val="21"/>
        </w:rPr>
        <w:t>（详见其它关键信息）</w:t>
      </w:r>
      <w:r>
        <w:rPr>
          <w:rFonts w:hint="eastAsia" w:asciiTheme="minorEastAsia" w:hAnsiTheme="minorEastAsia" w:eastAsiaTheme="minorEastAsia"/>
          <w:kern w:val="0"/>
          <w:szCs w:val="21"/>
        </w:rPr>
        <w:t>；</w:t>
      </w:r>
    </w:p>
    <w:p w14:paraId="01E19A54">
      <w:pPr>
        <w:keepNext w:val="0"/>
        <w:keepLines w:val="0"/>
        <w:pageBreakBefore w:val="0"/>
        <w:widowControl w:val="0"/>
        <w:kinsoku/>
        <w:overflowPunct/>
        <w:topLinePunct w:val="0"/>
        <w:bidi w:val="0"/>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665825CC">
      <w:pPr>
        <w:keepNext w:val="0"/>
        <w:keepLines w:val="0"/>
        <w:pageBreakBefore w:val="0"/>
        <w:widowControl w:val="0"/>
        <w:kinsoku/>
        <w:overflowPunct/>
        <w:topLinePunct w:val="0"/>
        <w:bidi w:val="0"/>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99141B3">
      <w:pPr>
        <w:keepNext w:val="0"/>
        <w:keepLines w:val="0"/>
        <w:pageBreakBefore w:val="0"/>
        <w:widowControl w:val="0"/>
        <w:kinsoku/>
        <w:overflowPunct/>
        <w:topLinePunct w:val="0"/>
        <w:bidi w:val="0"/>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（7）如为联合体响应或以分包形式响应的，需分别填写每家中小企业的企业名称、从业人员、营业收入、资产总额、企业类别（中型企业、小型企业、微型企业）等信息；</w:t>
      </w:r>
    </w:p>
    <w:p w14:paraId="2E7A7DC3">
      <w:pPr>
        <w:keepNext w:val="0"/>
        <w:keepLines w:val="0"/>
        <w:pageBreakBefore w:val="0"/>
        <w:widowControl w:val="0"/>
        <w:kinsoku/>
        <w:overflowPunct/>
        <w:topLinePunct w:val="0"/>
        <w:bidi w:val="0"/>
        <w:snapToGrid w:val="0"/>
        <w:spacing w:line="360" w:lineRule="auto"/>
        <w:ind w:firstLine="422" w:firstLineChars="200"/>
        <w:jc w:val="left"/>
        <w:rPr>
          <w:rFonts w:asciiTheme="minorHAnsi" w:hAnsiTheme="minorHAnsi" w:eastAsiaTheme="minorEastAsia" w:cstheme="minorBidi"/>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rPr>
        <w:t>《中小企业声明函》中制造商、承接/承建企业所属行业应当与采购文件要求的行业相一致</w:t>
      </w:r>
      <w:r>
        <w:rPr>
          <w:rFonts w:hint="eastAsia" w:asciiTheme="minorHAnsi" w:hAnsiTheme="minorHAnsi" w:eastAsiaTheme="minorEastAsia" w:cstheme="minorBidi"/>
          <w:color w:val="FF0000"/>
        </w:rPr>
        <w:t>。</w:t>
      </w:r>
      <w:r>
        <w:rPr>
          <w:rFonts w:hint="eastAsia" w:asciiTheme="minorHAnsi" w:hAnsiTheme="minorHAnsi" w:eastAsiaTheme="minorEastAsia" w:cstheme="minorBidi"/>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0F9E5466">
      <w:pPr>
        <w:keepNext w:val="0"/>
        <w:keepLines w:val="0"/>
        <w:pageBreakBefore w:val="0"/>
        <w:widowControl w:val="0"/>
        <w:kinsoku/>
        <w:overflowPunct/>
        <w:topLinePunct w:val="0"/>
        <w:bidi w:val="0"/>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w:t>
      </w:r>
      <w:r>
        <w:rPr>
          <w:rFonts w:hint="eastAsia" w:ascii="宋体" w:hAnsi="宋体" w:eastAsiaTheme="minorEastAsia" w:cstheme="minorBidi"/>
          <w:kern w:val="0"/>
          <w:szCs w:val="21"/>
        </w:rPr>
        <w:t>；</w:t>
      </w:r>
    </w:p>
    <w:p w14:paraId="0DB1DB51">
      <w:pPr>
        <w:keepNext w:val="0"/>
        <w:keepLines w:val="0"/>
        <w:pageBreakBefore w:val="0"/>
        <w:widowControl w:val="0"/>
        <w:kinsoku/>
        <w:overflowPunct/>
        <w:topLinePunct w:val="0"/>
        <w:bidi w:val="0"/>
        <w:snapToGrid w:val="0"/>
        <w:spacing w:line="360" w:lineRule="auto"/>
        <w:ind w:firstLine="424" w:firstLineChars="202"/>
        <w:jc w:val="left"/>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0A9929A">
      <w:pPr>
        <w:keepNext w:val="0"/>
        <w:keepLines w:val="0"/>
        <w:pageBreakBefore w:val="0"/>
        <w:widowControl w:val="0"/>
        <w:kinsoku/>
        <w:overflowPunct/>
        <w:topLinePunct w:val="0"/>
        <w:bidi w:val="0"/>
        <w:jc w:val="center"/>
        <w:outlineLvl w:val="3"/>
        <w:rPr>
          <w:rFonts w:ascii="黑体" w:hAnsi="宋体" w:eastAsia="黑体"/>
          <w:bCs/>
          <w:kern w:val="0"/>
          <w:sz w:val="24"/>
          <w:szCs w:val="32"/>
        </w:rPr>
      </w:pPr>
    </w:p>
    <w:p w14:paraId="478B4F9B">
      <w:pPr>
        <w:keepNext w:val="0"/>
        <w:keepLines w:val="0"/>
        <w:pageBreakBefore w:val="0"/>
        <w:widowControl w:val="0"/>
        <w:kinsoku/>
        <w:overflowPunct/>
        <w:topLinePunct w:val="0"/>
        <w:bidi w:val="0"/>
        <w:spacing w:after="60"/>
        <w:jc w:val="center"/>
        <w:outlineLvl w:val="3"/>
        <w:rPr>
          <w:b/>
          <w:sz w:val="24"/>
        </w:rPr>
      </w:pPr>
      <w:r>
        <w:rPr>
          <w:rFonts w:hint="eastAsia"/>
          <w:b/>
          <w:sz w:val="24"/>
        </w:rPr>
        <w:t>1、中小企业声明函</w:t>
      </w:r>
    </w:p>
    <w:p w14:paraId="3EA625DF">
      <w:pPr>
        <w:pStyle w:val="2"/>
        <w:keepNext w:val="0"/>
        <w:keepLines w:val="0"/>
        <w:pageBreakBefore w:val="0"/>
        <w:widowControl w:val="0"/>
        <w:kinsoku/>
        <w:overflowPunct/>
        <w:topLinePunct w:val="0"/>
        <w:bidi w:val="0"/>
        <w:spacing w:line="360" w:lineRule="exact"/>
        <w:ind w:firstLine="412"/>
        <w:rPr>
          <w:rFonts w:asciiTheme="minorEastAsia" w:hAnsiTheme="minorEastAsia" w:eastAsiaTheme="minorEastAsia"/>
          <w:b w:val="0"/>
          <w:sz w:val="21"/>
          <w:szCs w:val="21"/>
        </w:rPr>
      </w:pPr>
      <w:r>
        <w:rPr>
          <w:rFonts w:asciiTheme="minorEastAsia" w:hAnsiTheme="minorEastAsia" w:eastAsiaTheme="minorEastAsia"/>
          <w:b w:val="0"/>
          <w:sz w:val="21"/>
          <w:szCs w:val="21"/>
        </w:rPr>
        <w:t>本公司（联合体）郑重声明，根据《政府采购促进中小企业发展管理办法》（财库</w:t>
      </w:r>
      <w:r>
        <w:rPr>
          <w:rFonts w:hint="eastAsia" w:asciiTheme="minorEastAsia" w:hAnsiTheme="minorEastAsia" w:eastAsiaTheme="minorEastAsia"/>
          <w:b w:val="0"/>
          <w:sz w:val="21"/>
          <w:szCs w:val="21"/>
        </w:rPr>
        <w:t>﹝</w:t>
      </w:r>
      <w:r>
        <w:rPr>
          <w:rFonts w:asciiTheme="minorEastAsia" w:hAnsiTheme="minorEastAsia" w:eastAsiaTheme="minorEastAsia"/>
          <w:b w:val="0"/>
          <w:sz w:val="21"/>
          <w:szCs w:val="21"/>
        </w:rPr>
        <w:t>2020</w:t>
      </w:r>
      <w:r>
        <w:rPr>
          <w:rFonts w:hint="eastAsia" w:asciiTheme="minorEastAsia" w:hAnsiTheme="minorEastAsia" w:eastAsiaTheme="minorEastAsia"/>
          <w:b w:val="0"/>
          <w:sz w:val="21"/>
          <w:szCs w:val="21"/>
        </w:rPr>
        <w:t>﹞</w:t>
      </w:r>
      <w:r>
        <w:rPr>
          <w:rFonts w:asciiTheme="minorEastAsia" w:hAnsiTheme="minorEastAsia" w:eastAsiaTheme="minorEastAsia"/>
          <w:b w:val="0"/>
          <w:sz w:val="21"/>
          <w:szCs w:val="21"/>
        </w:rPr>
        <w:t>46 号）的规定，本公司（联合体）参加</w:t>
      </w:r>
      <w:r>
        <w:rPr>
          <w:rFonts w:asciiTheme="minorEastAsia" w:hAnsiTheme="minorEastAsia" w:eastAsiaTheme="minorEastAsia"/>
          <w:b w:val="0"/>
          <w:sz w:val="21"/>
          <w:szCs w:val="21"/>
          <w:u w:val="single"/>
        </w:rPr>
        <w:t>（单位名称）</w:t>
      </w:r>
      <w:r>
        <w:rPr>
          <w:rFonts w:asciiTheme="minorEastAsia" w:hAnsiTheme="minorEastAsia" w:eastAsiaTheme="minorEastAsia"/>
          <w:b w:val="0"/>
          <w:sz w:val="21"/>
          <w:szCs w:val="21"/>
        </w:rPr>
        <w:t>的</w:t>
      </w:r>
      <w:r>
        <w:rPr>
          <w:rFonts w:asciiTheme="minorEastAsia" w:hAnsiTheme="minorEastAsia" w:eastAsiaTheme="minorEastAsia"/>
          <w:b w:val="0"/>
          <w:sz w:val="21"/>
          <w:szCs w:val="21"/>
          <w:u w:val="single"/>
        </w:rPr>
        <w:t>（项目名称）</w:t>
      </w:r>
      <w:r>
        <w:rPr>
          <w:rFonts w:asciiTheme="minorEastAsia" w:hAnsiTheme="minorEastAsia" w:eastAsiaTheme="minorEastAsia"/>
          <w:b w:val="0"/>
          <w:sz w:val="21"/>
          <w:szCs w:val="21"/>
        </w:rPr>
        <w:t>采购活动，</w:t>
      </w:r>
      <w:r>
        <w:rPr>
          <w:rFonts w:hint="eastAsia" w:asciiTheme="minorEastAsia" w:hAnsiTheme="minorEastAsia" w:eastAsiaTheme="minorEastAsia"/>
          <w:b w:val="0"/>
          <w:sz w:val="21"/>
          <w:szCs w:val="21"/>
        </w:rPr>
        <w:t>服务全部由符合政策要求的中小企业承接</w:t>
      </w:r>
      <w:r>
        <w:rPr>
          <w:rFonts w:asciiTheme="minorEastAsia" w:hAnsiTheme="minorEastAsia" w:eastAsiaTheme="minorEastAsia"/>
          <w:b w:val="0"/>
          <w:sz w:val="21"/>
          <w:szCs w:val="21"/>
        </w:rPr>
        <w:t>。相关企业（含联合体中的中小企业、签订分包意向协议的中小企业）的具体情况如下：</w:t>
      </w:r>
    </w:p>
    <w:p w14:paraId="2FB7D124">
      <w:pPr>
        <w:pStyle w:val="2"/>
        <w:keepNext w:val="0"/>
        <w:keepLines w:val="0"/>
        <w:pageBreakBefore w:val="0"/>
        <w:widowControl w:val="0"/>
        <w:kinsoku/>
        <w:overflowPunct/>
        <w:topLinePunct w:val="0"/>
        <w:bidi w:val="0"/>
        <w:spacing w:line="360" w:lineRule="exact"/>
        <w:ind w:firstLine="412"/>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 xml:space="preserve">1. </w:t>
      </w:r>
      <w:r>
        <w:rPr>
          <w:rFonts w:asciiTheme="minorEastAsia" w:hAnsiTheme="minorEastAsia" w:eastAsiaTheme="minorEastAsia"/>
          <w:b w:val="0"/>
          <w:sz w:val="21"/>
          <w:szCs w:val="21"/>
          <w:u w:val="single"/>
        </w:rPr>
        <w:t>（标的名称）</w:t>
      </w:r>
      <w:r>
        <w:rPr>
          <w:rFonts w:asciiTheme="minorEastAsia" w:hAnsiTheme="minorEastAsia" w:eastAsiaTheme="minorEastAsia"/>
          <w:b w:val="0"/>
          <w:sz w:val="21"/>
          <w:szCs w:val="21"/>
        </w:rPr>
        <w:t>，属于</w:t>
      </w:r>
      <w:r>
        <w:rPr>
          <w:rFonts w:asciiTheme="minorEastAsia" w:hAnsiTheme="minorEastAsia" w:eastAsiaTheme="minorEastAsia"/>
          <w:b w:val="0"/>
          <w:sz w:val="21"/>
          <w:szCs w:val="21"/>
          <w:u w:val="single"/>
        </w:rPr>
        <w:t>（采购文件中明确的所属行业）</w:t>
      </w:r>
      <w:r>
        <w:rPr>
          <w:rFonts w:asciiTheme="minorEastAsia" w:hAnsiTheme="minorEastAsia" w:eastAsiaTheme="minorEastAsia"/>
          <w:b w:val="0"/>
          <w:sz w:val="21"/>
          <w:szCs w:val="21"/>
        </w:rPr>
        <w:t>；承接企业为</w:t>
      </w:r>
      <w:r>
        <w:rPr>
          <w:rFonts w:asciiTheme="minorEastAsia" w:hAnsiTheme="minorEastAsia" w:eastAsiaTheme="minorEastAsia"/>
          <w:b w:val="0"/>
          <w:sz w:val="21"/>
          <w:szCs w:val="21"/>
          <w:u w:val="single"/>
        </w:rPr>
        <w:t>（企业名称）</w:t>
      </w:r>
      <w:r>
        <w:rPr>
          <w:rFonts w:asciiTheme="minorEastAsia" w:hAnsiTheme="minorEastAsia" w:eastAsiaTheme="minorEastAsia"/>
          <w:b w:val="0"/>
          <w:sz w:val="21"/>
          <w:szCs w:val="21"/>
        </w:rPr>
        <w:t>，从业人员</w:t>
      </w:r>
      <w:r>
        <w:rPr>
          <w:rFonts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u w:val="single"/>
        </w:rPr>
        <w:tab/>
      </w:r>
      <w:r>
        <w:rPr>
          <w:rFonts w:asciiTheme="minorEastAsia" w:hAnsiTheme="minorEastAsia" w:eastAsiaTheme="minorEastAsia"/>
          <w:b w:val="0"/>
          <w:sz w:val="21"/>
          <w:szCs w:val="21"/>
        </w:rPr>
        <w:t>人，营业收入为</w:t>
      </w:r>
      <w:r>
        <w:rPr>
          <w:rFonts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u w:val="single"/>
        </w:rPr>
        <w:tab/>
      </w:r>
      <w:r>
        <w:rPr>
          <w:rFonts w:hint="eastAsia"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rPr>
        <w:t>万元，资产总额为</w:t>
      </w:r>
      <w:r>
        <w:rPr>
          <w:rFonts w:hint="eastAsia"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rPr>
        <w:t>万元，属于</w:t>
      </w:r>
      <w:r>
        <w:rPr>
          <w:rFonts w:asciiTheme="minorEastAsia" w:hAnsiTheme="minorEastAsia" w:eastAsiaTheme="minorEastAsia"/>
          <w:b w:val="0"/>
          <w:sz w:val="21"/>
          <w:szCs w:val="21"/>
          <w:u w:val="single"/>
        </w:rPr>
        <w:t>（中型企业、小型企业、微型企业）</w:t>
      </w:r>
      <w:r>
        <w:rPr>
          <w:rFonts w:asciiTheme="minorEastAsia" w:hAnsiTheme="minorEastAsia" w:eastAsiaTheme="minorEastAsia"/>
          <w:b w:val="0"/>
          <w:sz w:val="21"/>
          <w:szCs w:val="21"/>
        </w:rPr>
        <w:t>；</w:t>
      </w:r>
    </w:p>
    <w:p w14:paraId="0E0B2188">
      <w:pPr>
        <w:pStyle w:val="2"/>
        <w:keepNext w:val="0"/>
        <w:keepLines w:val="0"/>
        <w:pageBreakBefore w:val="0"/>
        <w:widowControl w:val="0"/>
        <w:kinsoku/>
        <w:overflowPunct/>
        <w:topLinePunct w:val="0"/>
        <w:bidi w:val="0"/>
        <w:spacing w:line="360" w:lineRule="exact"/>
        <w:ind w:firstLine="412"/>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 xml:space="preserve">2. </w:t>
      </w:r>
      <w:r>
        <w:rPr>
          <w:rFonts w:asciiTheme="minorEastAsia" w:hAnsiTheme="minorEastAsia" w:eastAsiaTheme="minorEastAsia"/>
          <w:b w:val="0"/>
          <w:sz w:val="21"/>
          <w:szCs w:val="21"/>
          <w:u w:val="single"/>
        </w:rPr>
        <w:t>（标的名称）</w:t>
      </w:r>
      <w:r>
        <w:rPr>
          <w:rFonts w:asciiTheme="minorEastAsia" w:hAnsiTheme="minorEastAsia" w:eastAsiaTheme="minorEastAsia"/>
          <w:b w:val="0"/>
          <w:sz w:val="21"/>
          <w:szCs w:val="21"/>
        </w:rPr>
        <w:t>，属于</w:t>
      </w:r>
      <w:r>
        <w:rPr>
          <w:rFonts w:asciiTheme="minorEastAsia" w:hAnsiTheme="minorEastAsia" w:eastAsiaTheme="minorEastAsia"/>
          <w:b w:val="0"/>
          <w:sz w:val="21"/>
          <w:szCs w:val="21"/>
          <w:u w:val="single"/>
        </w:rPr>
        <w:t>（采购文件中明确的所属行业）</w:t>
      </w:r>
      <w:r>
        <w:rPr>
          <w:rFonts w:asciiTheme="minorEastAsia" w:hAnsiTheme="minorEastAsia" w:eastAsiaTheme="minorEastAsia"/>
          <w:b w:val="0"/>
          <w:sz w:val="21"/>
          <w:szCs w:val="21"/>
        </w:rPr>
        <w:t>；承接企业为</w:t>
      </w:r>
      <w:r>
        <w:rPr>
          <w:rFonts w:asciiTheme="minorEastAsia" w:hAnsiTheme="minorEastAsia" w:eastAsiaTheme="minorEastAsia"/>
          <w:b w:val="0"/>
          <w:sz w:val="21"/>
          <w:szCs w:val="21"/>
          <w:u w:val="single"/>
        </w:rPr>
        <w:t>（企业名称）</w:t>
      </w:r>
      <w:r>
        <w:rPr>
          <w:rFonts w:asciiTheme="minorEastAsia" w:hAnsiTheme="minorEastAsia" w:eastAsiaTheme="minorEastAsia"/>
          <w:b w:val="0"/>
          <w:sz w:val="21"/>
          <w:szCs w:val="21"/>
        </w:rPr>
        <w:t>，从业人员</w:t>
      </w:r>
      <w:r>
        <w:rPr>
          <w:rFonts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u w:val="single"/>
        </w:rPr>
        <w:tab/>
      </w:r>
      <w:r>
        <w:rPr>
          <w:rFonts w:asciiTheme="minorEastAsia" w:hAnsiTheme="minorEastAsia" w:eastAsiaTheme="minorEastAsia"/>
          <w:b w:val="0"/>
          <w:sz w:val="21"/>
          <w:szCs w:val="21"/>
        </w:rPr>
        <w:t>人，营业收入为</w:t>
      </w:r>
      <w:r>
        <w:rPr>
          <w:rFonts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u w:val="single"/>
        </w:rPr>
        <w:tab/>
      </w:r>
      <w:r>
        <w:rPr>
          <w:rFonts w:hint="eastAsia"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rPr>
        <w:t>万元，资产总额为</w:t>
      </w:r>
      <w:r>
        <w:rPr>
          <w:rFonts w:hint="eastAsia"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rPr>
        <w:t>万元，属于</w:t>
      </w:r>
      <w:r>
        <w:rPr>
          <w:rFonts w:asciiTheme="minorEastAsia" w:hAnsiTheme="minorEastAsia" w:eastAsiaTheme="minorEastAsia"/>
          <w:b w:val="0"/>
          <w:sz w:val="21"/>
          <w:szCs w:val="21"/>
          <w:u w:val="single"/>
        </w:rPr>
        <w:t>（中型企业、小型企业、微型企业）</w:t>
      </w:r>
      <w:r>
        <w:rPr>
          <w:rFonts w:asciiTheme="minorEastAsia" w:hAnsiTheme="minorEastAsia" w:eastAsiaTheme="minorEastAsia"/>
          <w:b w:val="0"/>
          <w:sz w:val="21"/>
          <w:szCs w:val="21"/>
        </w:rPr>
        <w:t>；</w:t>
      </w:r>
    </w:p>
    <w:p w14:paraId="47172011">
      <w:pPr>
        <w:pStyle w:val="2"/>
        <w:keepNext w:val="0"/>
        <w:keepLines w:val="0"/>
        <w:pageBreakBefore w:val="0"/>
        <w:widowControl w:val="0"/>
        <w:kinsoku/>
        <w:overflowPunct/>
        <w:topLinePunct w:val="0"/>
        <w:bidi w:val="0"/>
        <w:spacing w:before="11" w:line="360" w:lineRule="exact"/>
        <w:ind w:firstLine="424" w:firstLineChars="202"/>
        <w:rPr>
          <w:rFonts w:asciiTheme="minorEastAsia" w:hAnsiTheme="minorEastAsia" w:eastAsiaTheme="minorEastAsia"/>
          <w:b w:val="0"/>
          <w:sz w:val="21"/>
          <w:szCs w:val="21"/>
        </w:rPr>
      </w:pPr>
      <w:r>
        <w:rPr>
          <w:rFonts w:asciiTheme="minorEastAsia" w:hAnsiTheme="minorEastAsia" w:eastAsiaTheme="minorEastAsia"/>
          <w:b w:val="0"/>
          <w:sz w:val="21"/>
          <w:szCs w:val="21"/>
        </w:rPr>
        <w:t>……</w:t>
      </w:r>
    </w:p>
    <w:p w14:paraId="5B0DC47B">
      <w:pPr>
        <w:pStyle w:val="2"/>
        <w:keepNext w:val="0"/>
        <w:keepLines w:val="0"/>
        <w:pageBreakBefore w:val="0"/>
        <w:widowControl w:val="0"/>
        <w:kinsoku/>
        <w:overflowPunct/>
        <w:topLinePunct w:val="0"/>
        <w:bidi w:val="0"/>
        <w:spacing w:before="108" w:line="360" w:lineRule="exact"/>
        <w:ind w:firstLine="408"/>
        <w:rPr>
          <w:rFonts w:asciiTheme="minorEastAsia" w:hAnsiTheme="minorEastAsia" w:eastAsiaTheme="minorEastAsia"/>
          <w:b w:val="0"/>
          <w:sz w:val="21"/>
          <w:szCs w:val="21"/>
        </w:rPr>
      </w:pPr>
      <w:r>
        <w:rPr>
          <w:rFonts w:asciiTheme="minorEastAsia" w:hAnsiTheme="minorEastAsia" w:eastAsiaTheme="minorEastAsia"/>
          <w:b w:val="0"/>
          <w:sz w:val="21"/>
          <w:szCs w:val="21"/>
        </w:rPr>
        <w:t>以上企业，不属于大企业的分支机构，不存在控股股东为大企业的情形，也不存在与大企业的负责人为同一人的情形。</w:t>
      </w:r>
    </w:p>
    <w:p w14:paraId="4B9851FF">
      <w:pPr>
        <w:keepNext w:val="0"/>
        <w:keepLines w:val="0"/>
        <w:pageBreakBefore w:val="0"/>
        <w:widowControl w:val="0"/>
        <w:kinsoku/>
        <w:overflowPunct/>
        <w:topLinePunct w:val="0"/>
        <w:bidi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0ED3D4A9">
      <w:pPr>
        <w:keepNext w:val="0"/>
        <w:keepLines w:val="0"/>
        <w:pageBreakBefore w:val="0"/>
        <w:widowControl w:val="0"/>
        <w:kinsoku/>
        <w:overflowPunct/>
        <w:topLinePunct w:val="0"/>
        <w:bidi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B8DB92C">
      <w:pPr>
        <w:keepNext w:val="0"/>
        <w:keepLines w:val="0"/>
        <w:pageBreakBefore w:val="0"/>
        <w:widowControl w:val="0"/>
        <w:kinsoku/>
        <w:overflowPunct/>
        <w:topLinePunct w:val="0"/>
        <w:bidi w:val="0"/>
        <w:spacing w:line="360" w:lineRule="exact"/>
        <w:ind w:firstLine="420" w:firstLineChars="200"/>
        <w:rPr>
          <w:rFonts w:asciiTheme="minorEastAsia" w:hAnsiTheme="minorEastAsia" w:eastAsiaTheme="minorEastAsia"/>
          <w:szCs w:val="21"/>
        </w:rPr>
      </w:pPr>
    </w:p>
    <w:p w14:paraId="148CB6DD">
      <w:pPr>
        <w:keepNext w:val="0"/>
        <w:keepLines w:val="0"/>
        <w:pageBreakBefore w:val="0"/>
        <w:widowControl w:val="0"/>
        <w:kinsoku/>
        <w:overflowPunct/>
        <w:topLinePunct w:val="0"/>
        <w:bidi w:val="0"/>
        <w:spacing w:line="360" w:lineRule="exact"/>
        <w:jc w:val="center"/>
        <w:rPr>
          <w:rFonts w:ascii="Times New Roman" w:hAnsi="Times New Roman"/>
          <w:szCs w:val="24"/>
        </w:rPr>
      </w:pPr>
      <w:r>
        <w:rPr>
          <w:rFonts w:hint="eastAsia" w:ascii="Times New Roman" w:hAnsi="Times New Roman"/>
          <w:szCs w:val="21"/>
        </w:rPr>
        <w:t xml:space="preserve">                           企业名称：</w:t>
      </w:r>
    </w:p>
    <w:p w14:paraId="74CD8A87">
      <w:pPr>
        <w:keepNext w:val="0"/>
        <w:keepLines w:val="0"/>
        <w:pageBreakBefore w:val="0"/>
        <w:widowControl w:val="0"/>
        <w:kinsoku/>
        <w:overflowPunct/>
        <w:topLinePunct w:val="0"/>
        <w:bidi w:val="0"/>
        <w:spacing w:line="360" w:lineRule="exac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4DFCC5E">
      <w:pPr>
        <w:keepNext w:val="0"/>
        <w:keepLines w:val="0"/>
        <w:pageBreakBefore w:val="0"/>
        <w:widowControl w:val="0"/>
        <w:kinsoku/>
        <w:overflowPunct/>
        <w:topLinePunct w:val="0"/>
        <w:bidi w:val="0"/>
        <w:spacing w:line="360" w:lineRule="exact"/>
        <w:ind w:firstLine="420" w:firstLineChars="200"/>
        <w:rPr>
          <w:rFonts w:ascii="宋体" w:hAnsi="宋体"/>
          <w:szCs w:val="21"/>
        </w:rPr>
      </w:pPr>
      <w:r>
        <w:rPr>
          <w:rFonts w:hint="eastAsia" w:ascii="宋体" w:hAnsi="宋体"/>
          <w:szCs w:val="21"/>
        </w:rPr>
        <w:t>备注：</w:t>
      </w:r>
    </w:p>
    <w:p w14:paraId="3074AFCF">
      <w:pPr>
        <w:keepNext w:val="0"/>
        <w:keepLines w:val="0"/>
        <w:pageBreakBefore w:val="0"/>
        <w:widowControl w:val="0"/>
        <w:kinsoku/>
        <w:overflowPunct/>
        <w:topLinePunct w:val="0"/>
        <w:bidi w:val="0"/>
        <w:spacing w:line="360" w:lineRule="exact"/>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558BC5E7">
      <w:pPr>
        <w:keepNext w:val="0"/>
        <w:keepLines w:val="0"/>
        <w:pageBreakBefore w:val="0"/>
        <w:widowControl w:val="0"/>
        <w:kinsoku/>
        <w:overflowPunct/>
        <w:topLinePunct w:val="0"/>
        <w:bidi w:val="0"/>
        <w:spacing w:line="360" w:lineRule="exact"/>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640A766E">
      <w:pPr>
        <w:keepNext w:val="0"/>
        <w:keepLines w:val="0"/>
        <w:pageBreakBefore w:val="0"/>
        <w:widowControl w:val="0"/>
        <w:kinsoku/>
        <w:overflowPunct/>
        <w:topLinePunct w:val="0"/>
        <w:bidi w:val="0"/>
        <w:spacing w:line="360" w:lineRule="exact"/>
        <w:ind w:firstLine="424" w:firstLineChars="202"/>
        <w:rPr>
          <w:rFonts w:asciiTheme="minorEastAsia" w:hAnsiTheme="minorEastAsia" w:eastAsiaTheme="minorEastAsia" w:cstheme="minorBidi"/>
        </w:rPr>
      </w:pPr>
      <w:r>
        <w:rPr>
          <w:rFonts w:hint="eastAsia" w:asciiTheme="minorEastAsia" w:hAnsiTheme="minorEastAsia" w:eastAsiaTheme="minorEastAsia" w:cstheme="minorBidi"/>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rPr>
        <w:t>《中小企业声明函》中相关企业所属行业应当与采购标的所属行业相一致</w:t>
      </w:r>
      <w:r>
        <w:rPr>
          <w:rFonts w:hint="eastAsia" w:asciiTheme="minorEastAsia" w:hAnsiTheme="minorEastAsia" w:eastAsiaTheme="minorEastAsia" w:cstheme="minorBidi"/>
        </w:rPr>
        <w:t>。</w:t>
      </w:r>
    </w:p>
    <w:p w14:paraId="2B9E9188">
      <w:pPr>
        <w:keepNext w:val="0"/>
        <w:keepLines w:val="0"/>
        <w:pageBreakBefore w:val="0"/>
        <w:widowControl w:val="0"/>
        <w:kinsoku/>
        <w:overflowPunct/>
        <w:topLinePunct w:val="0"/>
        <w:bidi w:val="0"/>
        <w:spacing w:line="360" w:lineRule="exact"/>
        <w:ind w:firstLine="424" w:firstLineChars="202"/>
        <w:rPr>
          <w:rFonts w:asciiTheme="minorHAnsi" w:hAnsiTheme="minorHAnsi" w:eastAsiaTheme="minorEastAsia" w:cstheme="minorBidi"/>
        </w:rPr>
      </w:pPr>
      <w:r>
        <w:rPr>
          <w:rFonts w:hint="eastAsia" w:asciiTheme="minorHAnsi" w:hAnsiTheme="minorHAnsi" w:eastAsiaTheme="minorEastAsia" w:cstheme="minorBidi"/>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D95716F">
      <w:pPr>
        <w:keepNext w:val="0"/>
        <w:keepLines w:val="0"/>
        <w:pageBreakBefore w:val="0"/>
        <w:widowControl w:val="0"/>
        <w:kinsoku/>
        <w:overflowPunct/>
        <w:topLinePunct w:val="0"/>
        <w:bidi w:val="0"/>
        <w:spacing w:line="360" w:lineRule="exact"/>
        <w:ind w:firstLine="420" w:firstLineChars="200"/>
        <w:rPr>
          <w:rFonts w:ascii="宋体" w:hAnsi="宋体"/>
          <w:szCs w:val="21"/>
        </w:rPr>
      </w:pPr>
    </w:p>
    <w:p w14:paraId="1D419C6E">
      <w:pPr>
        <w:keepNext w:val="0"/>
        <w:keepLines w:val="0"/>
        <w:pageBreakBefore w:val="0"/>
        <w:widowControl w:val="0"/>
        <w:kinsoku/>
        <w:overflowPunct/>
        <w:topLinePunct w:val="0"/>
        <w:bidi w:val="0"/>
        <w:spacing w:after="60" w:line="360" w:lineRule="exact"/>
        <w:jc w:val="center"/>
        <w:outlineLvl w:val="3"/>
        <w:rPr>
          <w:b/>
          <w:sz w:val="24"/>
        </w:rPr>
      </w:pPr>
      <w:r>
        <w:rPr>
          <w:rFonts w:hint="eastAsia"/>
          <w:b/>
          <w:sz w:val="24"/>
        </w:rPr>
        <w:t>2、监狱企业声明函</w:t>
      </w:r>
    </w:p>
    <w:p w14:paraId="2EF604E9">
      <w:pPr>
        <w:keepNext w:val="0"/>
        <w:keepLines w:val="0"/>
        <w:pageBreakBefore w:val="0"/>
        <w:widowControl w:val="0"/>
        <w:kinsoku/>
        <w:overflowPunct/>
        <w:topLinePunct w:val="0"/>
        <w:bidi w:val="0"/>
        <w:spacing w:after="60" w:line="360" w:lineRule="exact"/>
        <w:ind w:firstLine="420" w:firstLineChars="200"/>
        <w:rPr>
          <w:rFonts w:ascii="宋体" w:hAnsi="宋体"/>
          <w:szCs w:val="21"/>
        </w:rPr>
      </w:pPr>
      <w:r>
        <w:rPr>
          <w:rFonts w:hint="eastAsia" w:ascii="宋体" w:hAnsi="宋体"/>
          <w:szCs w:val="21"/>
        </w:rPr>
        <w:t>本单位郑重声明，根据《关于政府采购支持监狱企业发展有关问题的通知》（财库〔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77F70474">
      <w:pPr>
        <w:keepNext w:val="0"/>
        <w:keepLines w:val="0"/>
        <w:pageBreakBefore w:val="0"/>
        <w:widowControl w:val="0"/>
        <w:kinsoku/>
        <w:overflowPunct/>
        <w:topLinePunct w:val="0"/>
        <w:bidi w:val="0"/>
        <w:spacing w:after="60" w:line="36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407B8E67">
      <w:pPr>
        <w:keepNext w:val="0"/>
        <w:keepLines w:val="0"/>
        <w:pageBreakBefore w:val="0"/>
        <w:widowControl w:val="0"/>
        <w:kinsoku/>
        <w:overflowPunct/>
        <w:topLinePunct w:val="0"/>
        <w:bidi w:val="0"/>
        <w:spacing w:line="360" w:lineRule="exact"/>
        <w:jc w:val="center"/>
      </w:pPr>
      <w:r>
        <w:rPr>
          <w:rFonts w:hint="eastAsia"/>
          <w:szCs w:val="21"/>
        </w:rPr>
        <w:t xml:space="preserve">                             单位名称：</w:t>
      </w:r>
    </w:p>
    <w:p w14:paraId="09F976DA">
      <w:pPr>
        <w:keepNext w:val="0"/>
        <w:keepLines w:val="0"/>
        <w:pageBreakBefore w:val="0"/>
        <w:widowControl w:val="0"/>
        <w:kinsoku/>
        <w:overflowPunct/>
        <w:topLinePunct w:val="0"/>
        <w:bidi w:val="0"/>
        <w:spacing w:line="360" w:lineRule="exac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670E4A">
      <w:pPr>
        <w:keepNext w:val="0"/>
        <w:keepLines w:val="0"/>
        <w:pageBreakBefore w:val="0"/>
        <w:widowControl w:val="0"/>
        <w:kinsoku/>
        <w:overflowPunct/>
        <w:topLinePunct w:val="0"/>
        <w:bidi w:val="0"/>
        <w:spacing w:line="360" w:lineRule="exact"/>
        <w:ind w:firstLine="645"/>
        <w:rPr>
          <w:rFonts w:ascii="宋体"/>
          <w:b/>
          <w:szCs w:val="21"/>
        </w:rPr>
      </w:pPr>
      <w:r>
        <w:rPr>
          <w:rFonts w:hint="eastAsia" w:ascii="宋体" w:hAnsi="宋体"/>
          <w:szCs w:val="21"/>
        </w:rPr>
        <w:t xml:space="preserve">                                    </w:t>
      </w:r>
    </w:p>
    <w:p w14:paraId="26B076CF">
      <w:pPr>
        <w:keepNext w:val="0"/>
        <w:keepLines w:val="0"/>
        <w:pageBreakBefore w:val="0"/>
        <w:widowControl w:val="0"/>
        <w:kinsoku/>
        <w:overflowPunct/>
        <w:topLinePunct w:val="0"/>
        <w:bidi w:val="0"/>
        <w:spacing w:after="60" w:line="360" w:lineRule="exact"/>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060E7CED">
      <w:pPr>
        <w:keepNext w:val="0"/>
        <w:keepLines w:val="0"/>
        <w:pageBreakBefore w:val="0"/>
        <w:widowControl w:val="0"/>
        <w:kinsoku/>
        <w:overflowPunct/>
        <w:topLinePunct w:val="0"/>
        <w:bidi w:val="0"/>
        <w:ind w:left="723" w:hanging="723" w:hangingChars="300"/>
        <w:rPr>
          <w:b/>
          <w:sz w:val="24"/>
        </w:rPr>
      </w:pPr>
    </w:p>
    <w:p w14:paraId="2CDEA9C6">
      <w:pPr>
        <w:keepNext w:val="0"/>
        <w:keepLines w:val="0"/>
        <w:pageBreakBefore w:val="0"/>
        <w:widowControl w:val="0"/>
        <w:kinsoku/>
        <w:overflowPunct/>
        <w:topLinePunct w:val="0"/>
        <w:bidi w:val="0"/>
        <w:spacing w:line="360" w:lineRule="exact"/>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5E4EE3B">
      <w:pPr>
        <w:keepNext w:val="0"/>
        <w:keepLines w:val="0"/>
        <w:pageBreakBefore w:val="0"/>
        <w:widowControl w:val="0"/>
        <w:kinsoku/>
        <w:overflowPunct/>
        <w:topLinePunct w:val="0"/>
        <w:bidi w:val="0"/>
        <w:spacing w:after="60" w:line="360" w:lineRule="exact"/>
        <w:ind w:firstLine="420" w:firstLineChars="200"/>
        <w:rPr>
          <w:rFonts w:ascii="宋体" w:hAnsi="宋体"/>
          <w:szCs w:val="21"/>
        </w:rPr>
      </w:pPr>
      <w:r>
        <w:rPr>
          <w:rFonts w:hint="eastAsia" w:ascii="宋体" w:hAnsi="宋体"/>
          <w:szCs w:val="21"/>
        </w:rPr>
        <w:t xml:space="preserve">                                     </w:t>
      </w:r>
    </w:p>
    <w:p w14:paraId="0C15A3F9">
      <w:pPr>
        <w:keepNext w:val="0"/>
        <w:keepLines w:val="0"/>
        <w:pageBreakBefore w:val="0"/>
        <w:widowControl w:val="0"/>
        <w:kinsoku/>
        <w:overflowPunct/>
        <w:topLinePunct w:val="0"/>
        <w:bidi w:val="0"/>
        <w:spacing w:after="60" w:line="360" w:lineRule="exact"/>
        <w:jc w:val="center"/>
        <w:outlineLvl w:val="3"/>
        <w:rPr>
          <w:b/>
          <w:bCs/>
        </w:rPr>
      </w:pPr>
      <w:r>
        <w:rPr>
          <w:rFonts w:hint="eastAsia"/>
          <w:b/>
          <w:sz w:val="24"/>
        </w:rPr>
        <w:t>3、残疾人福利性单位声明函</w:t>
      </w:r>
    </w:p>
    <w:p w14:paraId="33A81732">
      <w:pPr>
        <w:keepNext w:val="0"/>
        <w:keepLines w:val="0"/>
        <w:pageBreakBefore w:val="0"/>
        <w:widowControl w:val="0"/>
        <w:kinsoku/>
        <w:overflowPunct/>
        <w:topLinePunct w:val="0"/>
        <w:bidi w:val="0"/>
        <w:spacing w:line="360" w:lineRule="exact"/>
        <w:ind w:firstLine="420" w:firstLineChars="200"/>
        <w:jc w:val="left"/>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780FACFF">
      <w:pPr>
        <w:keepNext w:val="0"/>
        <w:keepLines w:val="0"/>
        <w:pageBreakBefore w:val="0"/>
        <w:widowControl w:val="0"/>
        <w:kinsoku/>
        <w:overflowPunct/>
        <w:topLinePunct w:val="0"/>
        <w:bidi w:val="0"/>
        <w:spacing w:after="60" w:line="36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2BB5DBC">
      <w:pPr>
        <w:keepNext w:val="0"/>
        <w:keepLines w:val="0"/>
        <w:pageBreakBefore w:val="0"/>
        <w:widowControl w:val="0"/>
        <w:kinsoku/>
        <w:overflowPunct/>
        <w:topLinePunct w:val="0"/>
        <w:bidi w:val="0"/>
        <w:spacing w:after="60" w:line="360" w:lineRule="exact"/>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29AE79A3">
      <w:pPr>
        <w:keepNext w:val="0"/>
        <w:keepLines w:val="0"/>
        <w:pageBreakBefore w:val="0"/>
        <w:widowControl w:val="0"/>
        <w:kinsoku/>
        <w:overflowPunct/>
        <w:topLinePunct w:val="0"/>
        <w:bidi w:val="0"/>
        <w:spacing w:line="360" w:lineRule="exact"/>
        <w:jc w:val="center"/>
      </w:pPr>
      <w:r>
        <w:rPr>
          <w:rFonts w:hint="eastAsia"/>
          <w:szCs w:val="21"/>
        </w:rPr>
        <w:t xml:space="preserve">                             单位名称：</w:t>
      </w:r>
    </w:p>
    <w:p w14:paraId="255E4F02">
      <w:pPr>
        <w:keepNext w:val="0"/>
        <w:keepLines w:val="0"/>
        <w:pageBreakBefore w:val="0"/>
        <w:widowControl w:val="0"/>
        <w:kinsoku/>
        <w:overflowPunct/>
        <w:topLinePunct w:val="0"/>
        <w:bidi w:val="0"/>
        <w:spacing w:line="360" w:lineRule="exac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C09F3FB">
      <w:pPr>
        <w:pStyle w:val="6"/>
        <w:keepNext w:val="0"/>
        <w:keepLines w:val="0"/>
        <w:pageBreakBefore w:val="0"/>
        <w:widowControl w:val="0"/>
        <w:kinsoku/>
        <w:wordWrap/>
        <w:overflowPunct/>
        <w:topLinePunct w:val="0"/>
        <w:autoSpaceDE/>
        <w:autoSpaceDN/>
        <w:bidi w:val="0"/>
        <w:adjustRightInd/>
        <w:snapToGrid/>
        <w:spacing w:before="0" w:after="0" w:line="360" w:lineRule="exact"/>
        <w:ind w:firstLine="420" w:firstLineChars="200"/>
        <w:jc w:val="left"/>
        <w:textAlignment w:val="auto"/>
        <w:rPr>
          <w:rFonts w:hint="eastAsia" w:ascii="仿宋" w:hAnsi="仿宋" w:eastAsia="仿宋"/>
          <w:b w:val="0"/>
          <w:bCs w:val="0"/>
          <w:kern w:val="0"/>
          <w:sz w:val="21"/>
          <w:szCs w:val="21"/>
        </w:rPr>
      </w:pPr>
      <w:r>
        <w:rPr>
          <w:rFonts w:hint="eastAsia" w:ascii="宋体" w:hAnsi="宋体"/>
          <w:b w:val="0"/>
          <w:bCs w:val="0"/>
          <w:sz w:val="21"/>
          <w:szCs w:val="21"/>
        </w:rPr>
        <w:t>备注：填写前请认真阅读《财政部 民政部 中国残疾人联合会关于促进残疾人就业政府采购政策的通知》</w:t>
      </w:r>
      <w:r>
        <w:rPr>
          <w:rFonts w:ascii="宋体" w:hAnsi="宋体"/>
          <w:b w:val="0"/>
          <w:bCs w:val="0"/>
          <w:sz w:val="21"/>
          <w:szCs w:val="21"/>
        </w:rPr>
        <w:t>(</w:t>
      </w:r>
      <w:r>
        <w:rPr>
          <w:rFonts w:hint="eastAsia" w:ascii="宋体" w:hAnsi="宋体"/>
          <w:b w:val="0"/>
          <w:bCs w:val="0"/>
          <w:sz w:val="21"/>
          <w:szCs w:val="21"/>
        </w:rPr>
        <w:t>财库〔2017〕141号</w:t>
      </w:r>
      <w:r>
        <w:rPr>
          <w:rFonts w:ascii="宋体" w:hAnsi="宋体"/>
          <w:b w:val="0"/>
          <w:bCs w:val="0"/>
          <w:sz w:val="21"/>
          <w:szCs w:val="21"/>
        </w:rPr>
        <w:t>)</w:t>
      </w:r>
      <w:r>
        <w:rPr>
          <w:rFonts w:hint="eastAsia" w:ascii="宋体" w:hAnsi="宋体"/>
          <w:b w:val="0"/>
          <w:bCs w:val="0"/>
          <w:sz w:val="21"/>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97D5239">
      <w:pPr>
        <w:keepNext w:val="0"/>
        <w:keepLines w:val="0"/>
        <w:pageBreakBefore w:val="0"/>
        <w:widowControl w:val="0"/>
        <w:kinsoku/>
        <w:overflowPunct/>
        <w:topLinePunct w:val="0"/>
        <w:bidi w:val="0"/>
        <w:ind w:left="632" w:hanging="632" w:hangingChars="300"/>
        <w:rPr>
          <w:b/>
          <w:bCs/>
        </w:rPr>
      </w:pPr>
    </w:p>
    <w:p w14:paraId="08AADFF1">
      <w:pPr>
        <w:keepNext w:val="0"/>
        <w:keepLines w:val="0"/>
        <w:pageBreakBefore w:val="0"/>
        <w:widowControl w:val="0"/>
        <w:kinsoku/>
        <w:overflowPunct/>
        <w:topLinePunct w:val="0"/>
        <w:bidi w:val="0"/>
        <w:ind w:left="632" w:hanging="632" w:hangingChars="300"/>
        <w:rPr>
          <w:b/>
          <w:bCs/>
        </w:rPr>
      </w:pPr>
    </w:p>
    <w:p w14:paraId="54E502E6">
      <w:pPr>
        <w:pStyle w:val="6"/>
        <w:keepNext w:val="0"/>
        <w:keepLines w:val="0"/>
        <w:pageBreakBefore w:val="0"/>
        <w:widowControl w:val="0"/>
        <w:kinsoku/>
        <w:overflowPunct/>
        <w:topLinePunct w:val="0"/>
        <w:bidi w:val="0"/>
        <w:jc w:val="center"/>
        <w:rPr>
          <w:rFonts w:ascii="黑体" w:eastAsia="黑体"/>
          <w:b w:val="0"/>
          <w:sz w:val="24"/>
        </w:rPr>
      </w:pPr>
      <w:r>
        <w:rPr>
          <w:rFonts w:hint="eastAsia" w:ascii="黑体" w:eastAsia="黑体"/>
          <w:b w:val="0"/>
          <w:sz w:val="24"/>
        </w:rPr>
        <w:t>三、投标人情况介绍</w:t>
      </w:r>
    </w:p>
    <w:p w14:paraId="24EFBBC9">
      <w:pPr>
        <w:keepNext w:val="0"/>
        <w:keepLines w:val="0"/>
        <w:pageBreakBefore w:val="0"/>
        <w:widowControl w:val="0"/>
        <w:kinsoku/>
        <w:overflowPunct/>
        <w:topLinePunct w:val="0"/>
        <w:bidi w:val="0"/>
        <w:spacing w:line="360" w:lineRule="exact"/>
        <w:rPr>
          <w:bCs/>
          <w:szCs w:val="21"/>
        </w:rPr>
      </w:pPr>
      <w:r>
        <w:rPr>
          <w:rFonts w:hint="eastAsia"/>
          <w:bCs/>
          <w:szCs w:val="21"/>
        </w:rPr>
        <w:t>注：供应商如实提供情况介绍，格式自拟。</w:t>
      </w:r>
    </w:p>
    <w:p w14:paraId="4D67CF5A">
      <w:pPr>
        <w:keepNext w:val="0"/>
        <w:keepLines w:val="0"/>
        <w:pageBreakBefore w:val="0"/>
        <w:widowControl w:val="0"/>
        <w:kinsoku/>
        <w:overflowPunct/>
        <w:topLinePunct w:val="0"/>
        <w:bidi w:val="0"/>
        <w:ind w:left="632" w:hanging="632" w:hangingChars="300"/>
        <w:rPr>
          <w:b/>
          <w:bCs/>
        </w:rPr>
      </w:pPr>
    </w:p>
    <w:p w14:paraId="7A37D742">
      <w:pPr>
        <w:keepNext w:val="0"/>
        <w:keepLines w:val="0"/>
        <w:pageBreakBefore w:val="0"/>
        <w:widowControl w:val="0"/>
        <w:kinsoku/>
        <w:overflowPunct/>
        <w:topLinePunct w:val="0"/>
        <w:bidi w:val="0"/>
        <w:rPr>
          <w:rFonts w:ascii="宋体" w:hAnsi="宋体"/>
          <w:szCs w:val="21"/>
        </w:rPr>
      </w:pPr>
      <w:r>
        <w:rPr>
          <w:rFonts w:hint="eastAsia"/>
          <w:szCs w:val="21"/>
          <w:u w:val="single"/>
        </w:rPr>
        <w:t>（备注：如联合体投标，联合体各方均需提供情况介绍）</w:t>
      </w:r>
    </w:p>
    <w:p w14:paraId="1034E689">
      <w:pPr>
        <w:keepNext w:val="0"/>
        <w:keepLines w:val="0"/>
        <w:pageBreakBefore w:val="0"/>
        <w:widowControl w:val="0"/>
        <w:kinsoku/>
        <w:overflowPunct/>
        <w:topLinePunct w:val="0"/>
        <w:bidi w:val="0"/>
        <w:ind w:left="632" w:hanging="632" w:hangingChars="300"/>
        <w:rPr>
          <w:b/>
          <w:bCs/>
        </w:rPr>
      </w:pPr>
    </w:p>
    <w:p w14:paraId="6E976FD3">
      <w:pPr>
        <w:keepNext w:val="0"/>
        <w:keepLines w:val="0"/>
        <w:pageBreakBefore w:val="0"/>
        <w:widowControl w:val="0"/>
        <w:kinsoku/>
        <w:overflowPunct/>
        <w:topLinePunct w:val="0"/>
        <w:bidi w:val="0"/>
        <w:ind w:left="632" w:hanging="632" w:hangingChars="300"/>
        <w:rPr>
          <w:b/>
          <w:bCs/>
        </w:rPr>
      </w:pPr>
    </w:p>
    <w:p w14:paraId="06B7F84D">
      <w:pPr>
        <w:keepNext w:val="0"/>
        <w:keepLines w:val="0"/>
        <w:pageBreakBefore w:val="0"/>
        <w:widowControl w:val="0"/>
        <w:kinsoku/>
        <w:wordWrap/>
        <w:overflowPunct/>
        <w:topLinePunct w:val="0"/>
        <w:autoSpaceDE/>
        <w:autoSpaceDN/>
        <w:bidi w:val="0"/>
        <w:adjustRightInd/>
        <w:snapToGrid/>
        <w:spacing w:before="260" w:after="260"/>
        <w:jc w:val="center"/>
        <w:textAlignment w:val="auto"/>
        <w:outlineLvl w:val="3"/>
        <w:rPr>
          <w:rFonts w:ascii="黑体" w:hAnsi="宋体" w:eastAsia="黑体"/>
          <w:bCs/>
          <w:kern w:val="0"/>
          <w:sz w:val="24"/>
          <w:szCs w:val="32"/>
        </w:rPr>
      </w:pPr>
      <w:r>
        <w:rPr>
          <w:rFonts w:hint="eastAsia" w:ascii="黑体" w:hAnsi="宋体" w:eastAsia="黑体"/>
          <w:bCs/>
          <w:kern w:val="0"/>
          <w:sz w:val="24"/>
          <w:szCs w:val="32"/>
        </w:rPr>
        <w:t>四、符合政府采购扶持政策的证明材料</w:t>
      </w:r>
    </w:p>
    <w:p w14:paraId="4EE4D732">
      <w:pPr>
        <w:keepNext w:val="0"/>
        <w:keepLines w:val="0"/>
        <w:pageBreakBefore w:val="0"/>
        <w:widowControl w:val="0"/>
        <w:tabs>
          <w:tab w:val="left" w:pos="0"/>
        </w:tabs>
        <w:kinsoku/>
        <w:overflowPunct/>
        <w:topLinePunct w:val="0"/>
        <w:bidi w:val="0"/>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42"/>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EB1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39771A9">
            <w:pPr>
              <w:keepNext w:val="0"/>
              <w:keepLines w:val="0"/>
              <w:pageBreakBefore w:val="0"/>
              <w:widowControl w:val="0"/>
              <w:kinsoku/>
              <w:overflowPunct/>
              <w:topLinePunct w:val="0"/>
              <w:bidi w:val="0"/>
              <w:jc w:val="center"/>
              <w:rPr>
                <w:rFonts w:ascii="Times New Roman" w:hAnsi="Times New Roman"/>
                <w:b/>
                <w:szCs w:val="21"/>
              </w:rPr>
            </w:pPr>
            <w:r>
              <w:rPr>
                <w:rFonts w:hint="eastAsia" w:ascii="Times New Roman" w:hAnsi="Times New Roman"/>
                <w:b/>
                <w:szCs w:val="21"/>
              </w:rPr>
              <w:t>序号</w:t>
            </w:r>
          </w:p>
        </w:tc>
        <w:tc>
          <w:tcPr>
            <w:tcW w:w="1213" w:type="dxa"/>
            <w:vMerge w:val="restart"/>
            <w:vAlign w:val="center"/>
          </w:tcPr>
          <w:p w14:paraId="38E883F6">
            <w:pPr>
              <w:keepNext w:val="0"/>
              <w:keepLines w:val="0"/>
              <w:pageBreakBefore w:val="0"/>
              <w:widowControl w:val="0"/>
              <w:kinsoku/>
              <w:overflowPunct/>
              <w:topLinePunct w:val="0"/>
              <w:bidi w:val="0"/>
              <w:jc w:val="center"/>
              <w:rPr>
                <w:rFonts w:ascii="Times New Roman" w:hAnsi="Times New Roman"/>
                <w:b/>
                <w:szCs w:val="21"/>
              </w:rPr>
            </w:pPr>
            <w:r>
              <w:rPr>
                <w:rFonts w:hint="eastAsia" w:ascii="Times New Roman" w:hAnsi="Times New Roman"/>
                <w:b/>
                <w:szCs w:val="21"/>
              </w:rPr>
              <w:t>投标产品名称</w:t>
            </w:r>
          </w:p>
        </w:tc>
        <w:tc>
          <w:tcPr>
            <w:tcW w:w="1840" w:type="dxa"/>
            <w:vMerge w:val="restart"/>
            <w:vAlign w:val="center"/>
          </w:tcPr>
          <w:p w14:paraId="56814F7C">
            <w:pPr>
              <w:keepNext w:val="0"/>
              <w:keepLines w:val="0"/>
              <w:pageBreakBefore w:val="0"/>
              <w:widowControl w:val="0"/>
              <w:kinsoku/>
              <w:overflowPunct/>
              <w:topLinePunct w:val="0"/>
              <w:bidi w:val="0"/>
              <w:jc w:val="center"/>
              <w:rPr>
                <w:rFonts w:ascii="Times New Roman" w:hAnsi="Times New Roman"/>
                <w:b/>
                <w:szCs w:val="21"/>
              </w:rPr>
            </w:pPr>
            <w:r>
              <w:rPr>
                <w:rFonts w:hint="eastAsia" w:ascii="Times New Roman" w:hAnsi="Times New Roman"/>
                <w:b/>
                <w:szCs w:val="21"/>
              </w:rPr>
              <w:t>规格及型号</w:t>
            </w:r>
          </w:p>
        </w:tc>
        <w:tc>
          <w:tcPr>
            <w:tcW w:w="4351" w:type="dxa"/>
            <w:gridSpan w:val="3"/>
            <w:vAlign w:val="center"/>
          </w:tcPr>
          <w:p w14:paraId="7C8AAC49">
            <w:pPr>
              <w:keepNext w:val="0"/>
              <w:keepLines w:val="0"/>
              <w:pageBreakBefore w:val="0"/>
              <w:widowControl w:val="0"/>
              <w:kinsoku/>
              <w:overflowPunct/>
              <w:topLinePunct w:val="0"/>
              <w:bidi w:val="0"/>
              <w:jc w:val="center"/>
              <w:rPr>
                <w:rFonts w:ascii="Times New Roman" w:hAnsi="Times New Roman"/>
                <w:b/>
                <w:szCs w:val="21"/>
              </w:rPr>
            </w:pPr>
            <w:r>
              <w:rPr>
                <w:rFonts w:hint="eastAsia" w:ascii="Times New Roman" w:hAnsi="Times New Roman"/>
                <w:b/>
                <w:szCs w:val="21"/>
              </w:rPr>
              <w:t>投标产品报价</w:t>
            </w:r>
          </w:p>
        </w:tc>
        <w:tc>
          <w:tcPr>
            <w:tcW w:w="1503" w:type="dxa"/>
            <w:vMerge w:val="restart"/>
            <w:vAlign w:val="center"/>
          </w:tcPr>
          <w:p w14:paraId="27BF9814">
            <w:pPr>
              <w:keepNext w:val="0"/>
              <w:keepLines w:val="0"/>
              <w:pageBreakBefore w:val="0"/>
              <w:widowControl w:val="0"/>
              <w:kinsoku/>
              <w:overflowPunct/>
              <w:topLinePunct w:val="0"/>
              <w:bidi w:val="0"/>
              <w:jc w:val="center"/>
              <w:rPr>
                <w:rFonts w:ascii="Times New Roman" w:hAnsi="Times New Roman"/>
                <w:b/>
                <w:szCs w:val="21"/>
              </w:rPr>
            </w:pPr>
            <w:r>
              <w:rPr>
                <w:rFonts w:hint="eastAsia" w:ascii="Times New Roman" w:hAnsi="Times New Roman"/>
                <w:b/>
                <w:szCs w:val="21"/>
              </w:rPr>
              <w:t>属于优先采购清单的类别</w:t>
            </w:r>
          </w:p>
        </w:tc>
        <w:tc>
          <w:tcPr>
            <w:tcW w:w="720" w:type="dxa"/>
            <w:vMerge w:val="restart"/>
            <w:vAlign w:val="center"/>
          </w:tcPr>
          <w:p w14:paraId="242E3133">
            <w:pPr>
              <w:keepNext w:val="0"/>
              <w:keepLines w:val="0"/>
              <w:pageBreakBefore w:val="0"/>
              <w:widowControl w:val="0"/>
              <w:kinsoku/>
              <w:overflowPunct/>
              <w:topLinePunct w:val="0"/>
              <w:bidi w:val="0"/>
              <w:jc w:val="center"/>
              <w:rPr>
                <w:rFonts w:ascii="Times New Roman" w:hAnsi="Times New Roman"/>
                <w:b/>
                <w:szCs w:val="21"/>
              </w:rPr>
            </w:pPr>
            <w:r>
              <w:rPr>
                <w:rFonts w:hint="eastAsia" w:ascii="Times New Roman" w:hAnsi="Times New Roman"/>
                <w:b/>
                <w:szCs w:val="21"/>
              </w:rPr>
              <w:t>备注</w:t>
            </w:r>
          </w:p>
        </w:tc>
      </w:tr>
      <w:tr w14:paraId="7E1F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051EC1D4">
            <w:pPr>
              <w:keepNext w:val="0"/>
              <w:keepLines w:val="0"/>
              <w:pageBreakBefore w:val="0"/>
              <w:widowControl w:val="0"/>
              <w:kinsoku/>
              <w:overflowPunct/>
              <w:topLinePunct w:val="0"/>
              <w:bidi w:val="0"/>
              <w:rPr>
                <w:rFonts w:ascii="Times New Roman" w:hAnsi="Times New Roman"/>
                <w:szCs w:val="21"/>
              </w:rPr>
            </w:pPr>
          </w:p>
        </w:tc>
        <w:tc>
          <w:tcPr>
            <w:tcW w:w="1213" w:type="dxa"/>
            <w:vMerge w:val="continue"/>
            <w:vAlign w:val="center"/>
          </w:tcPr>
          <w:p w14:paraId="04EE809F">
            <w:pPr>
              <w:keepNext w:val="0"/>
              <w:keepLines w:val="0"/>
              <w:pageBreakBefore w:val="0"/>
              <w:widowControl w:val="0"/>
              <w:kinsoku/>
              <w:overflowPunct/>
              <w:topLinePunct w:val="0"/>
              <w:bidi w:val="0"/>
              <w:rPr>
                <w:rFonts w:ascii="Times New Roman" w:hAnsi="Times New Roman"/>
                <w:szCs w:val="21"/>
              </w:rPr>
            </w:pPr>
          </w:p>
        </w:tc>
        <w:tc>
          <w:tcPr>
            <w:tcW w:w="1840" w:type="dxa"/>
            <w:vMerge w:val="continue"/>
            <w:vAlign w:val="center"/>
          </w:tcPr>
          <w:p w14:paraId="109BF097">
            <w:pPr>
              <w:keepNext w:val="0"/>
              <w:keepLines w:val="0"/>
              <w:pageBreakBefore w:val="0"/>
              <w:widowControl w:val="0"/>
              <w:kinsoku/>
              <w:overflowPunct/>
              <w:topLinePunct w:val="0"/>
              <w:bidi w:val="0"/>
              <w:rPr>
                <w:rFonts w:ascii="Times New Roman" w:hAnsi="Times New Roman"/>
                <w:szCs w:val="21"/>
              </w:rPr>
            </w:pPr>
          </w:p>
        </w:tc>
        <w:tc>
          <w:tcPr>
            <w:tcW w:w="818" w:type="dxa"/>
            <w:vAlign w:val="center"/>
          </w:tcPr>
          <w:p w14:paraId="6F2ACFE6">
            <w:pPr>
              <w:keepNext w:val="0"/>
              <w:keepLines w:val="0"/>
              <w:pageBreakBefore w:val="0"/>
              <w:widowControl w:val="0"/>
              <w:kinsoku/>
              <w:overflowPunct/>
              <w:topLinePunct w:val="0"/>
              <w:bidi w:val="0"/>
              <w:rPr>
                <w:rFonts w:ascii="Times New Roman" w:hAnsi="Times New Roman"/>
                <w:szCs w:val="21"/>
              </w:rPr>
            </w:pPr>
            <w:r>
              <w:rPr>
                <w:rFonts w:hint="eastAsia" w:ascii="Times New Roman" w:hAnsi="Times New Roman"/>
                <w:szCs w:val="21"/>
              </w:rPr>
              <w:t>数量</w:t>
            </w:r>
          </w:p>
        </w:tc>
        <w:tc>
          <w:tcPr>
            <w:tcW w:w="1241" w:type="dxa"/>
            <w:vAlign w:val="center"/>
          </w:tcPr>
          <w:p w14:paraId="491A69A1">
            <w:pPr>
              <w:keepNext w:val="0"/>
              <w:keepLines w:val="0"/>
              <w:pageBreakBefore w:val="0"/>
              <w:widowControl w:val="0"/>
              <w:kinsoku/>
              <w:overflowPunct/>
              <w:topLinePunct w:val="0"/>
              <w:bidi w:val="0"/>
              <w:jc w:val="center"/>
              <w:rPr>
                <w:rFonts w:ascii="Times New Roman" w:hAnsi="Times New Roman"/>
                <w:szCs w:val="21"/>
              </w:rPr>
            </w:pPr>
            <w:r>
              <w:rPr>
                <w:rFonts w:hint="eastAsia" w:ascii="Times New Roman" w:hAnsi="Times New Roman"/>
                <w:szCs w:val="21"/>
              </w:rPr>
              <w:t>投标单价（元）</w:t>
            </w:r>
          </w:p>
        </w:tc>
        <w:tc>
          <w:tcPr>
            <w:tcW w:w="2292" w:type="dxa"/>
            <w:vAlign w:val="center"/>
          </w:tcPr>
          <w:p w14:paraId="49062507">
            <w:pPr>
              <w:keepNext w:val="0"/>
              <w:keepLines w:val="0"/>
              <w:pageBreakBefore w:val="0"/>
              <w:widowControl w:val="0"/>
              <w:kinsoku/>
              <w:overflowPunct/>
              <w:topLinePunct w:val="0"/>
              <w:bidi w:val="0"/>
              <w:jc w:val="center"/>
              <w:rPr>
                <w:rFonts w:ascii="Times New Roman" w:hAnsi="Times New Roman"/>
                <w:szCs w:val="21"/>
              </w:rPr>
            </w:pPr>
            <w:r>
              <w:rPr>
                <w:rFonts w:hint="eastAsia" w:ascii="Times New Roman" w:hAnsi="Times New Roman"/>
                <w:szCs w:val="21"/>
              </w:rPr>
              <w:t>投标</w:t>
            </w:r>
            <w:r>
              <w:rPr>
                <w:rFonts w:hint="eastAsia" w:ascii="宋体" w:hAnsi="宋体"/>
                <w:szCs w:val="21"/>
              </w:rPr>
              <w:t>合计</w:t>
            </w:r>
            <w:r>
              <w:rPr>
                <w:rFonts w:hint="eastAsia" w:ascii="Times New Roman" w:hAnsi="Times New Roman"/>
                <w:szCs w:val="21"/>
              </w:rPr>
              <w:t>报价（元）</w:t>
            </w:r>
          </w:p>
        </w:tc>
        <w:tc>
          <w:tcPr>
            <w:tcW w:w="1503" w:type="dxa"/>
            <w:vMerge w:val="continue"/>
            <w:vAlign w:val="center"/>
          </w:tcPr>
          <w:p w14:paraId="2307E469">
            <w:pPr>
              <w:keepNext w:val="0"/>
              <w:keepLines w:val="0"/>
              <w:pageBreakBefore w:val="0"/>
              <w:widowControl w:val="0"/>
              <w:kinsoku/>
              <w:overflowPunct/>
              <w:topLinePunct w:val="0"/>
              <w:bidi w:val="0"/>
              <w:rPr>
                <w:rFonts w:ascii="Times New Roman" w:hAnsi="Times New Roman"/>
                <w:szCs w:val="21"/>
              </w:rPr>
            </w:pPr>
          </w:p>
        </w:tc>
        <w:tc>
          <w:tcPr>
            <w:tcW w:w="720" w:type="dxa"/>
            <w:vMerge w:val="continue"/>
            <w:vAlign w:val="center"/>
          </w:tcPr>
          <w:p w14:paraId="044DDACE">
            <w:pPr>
              <w:keepNext w:val="0"/>
              <w:keepLines w:val="0"/>
              <w:pageBreakBefore w:val="0"/>
              <w:widowControl w:val="0"/>
              <w:kinsoku/>
              <w:overflowPunct/>
              <w:topLinePunct w:val="0"/>
              <w:bidi w:val="0"/>
              <w:rPr>
                <w:rFonts w:ascii="Times New Roman" w:hAnsi="Times New Roman"/>
                <w:szCs w:val="21"/>
              </w:rPr>
            </w:pPr>
          </w:p>
        </w:tc>
      </w:tr>
      <w:tr w14:paraId="5892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16059133">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1</w:t>
            </w:r>
          </w:p>
        </w:tc>
        <w:tc>
          <w:tcPr>
            <w:tcW w:w="1213" w:type="dxa"/>
            <w:vAlign w:val="center"/>
          </w:tcPr>
          <w:p w14:paraId="7A37351B">
            <w:pPr>
              <w:keepNext w:val="0"/>
              <w:keepLines w:val="0"/>
              <w:pageBreakBefore w:val="0"/>
              <w:widowControl w:val="0"/>
              <w:kinsoku/>
              <w:overflowPunct/>
              <w:topLinePunct w:val="0"/>
              <w:bidi w:val="0"/>
              <w:jc w:val="center"/>
              <w:rPr>
                <w:rFonts w:ascii="Times New Roman" w:hAnsi="Times New Roman"/>
                <w:szCs w:val="21"/>
              </w:rPr>
            </w:pPr>
          </w:p>
        </w:tc>
        <w:tc>
          <w:tcPr>
            <w:tcW w:w="1840" w:type="dxa"/>
            <w:vAlign w:val="center"/>
          </w:tcPr>
          <w:p w14:paraId="4005D27F">
            <w:pPr>
              <w:keepNext w:val="0"/>
              <w:keepLines w:val="0"/>
              <w:pageBreakBefore w:val="0"/>
              <w:widowControl w:val="0"/>
              <w:kinsoku/>
              <w:overflowPunct/>
              <w:topLinePunct w:val="0"/>
              <w:bidi w:val="0"/>
              <w:jc w:val="center"/>
              <w:rPr>
                <w:rFonts w:ascii="Times New Roman" w:hAnsi="Times New Roman"/>
                <w:szCs w:val="21"/>
              </w:rPr>
            </w:pPr>
          </w:p>
        </w:tc>
        <w:tc>
          <w:tcPr>
            <w:tcW w:w="818" w:type="dxa"/>
            <w:vAlign w:val="center"/>
          </w:tcPr>
          <w:p w14:paraId="688DF69A">
            <w:pPr>
              <w:keepNext w:val="0"/>
              <w:keepLines w:val="0"/>
              <w:pageBreakBefore w:val="0"/>
              <w:widowControl w:val="0"/>
              <w:kinsoku/>
              <w:overflowPunct/>
              <w:topLinePunct w:val="0"/>
              <w:bidi w:val="0"/>
              <w:jc w:val="center"/>
              <w:rPr>
                <w:rFonts w:ascii="Times New Roman" w:hAnsi="Times New Roman"/>
                <w:szCs w:val="21"/>
              </w:rPr>
            </w:pPr>
          </w:p>
        </w:tc>
        <w:tc>
          <w:tcPr>
            <w:tcW w:w="1241" w:type="dxa"/>
            <w:vAlign w:val="center"/>
          </w:tcPr>
          <w:p w14:paraId="3762CE5B">
            <w:pPr>
              <w:keepNext w:val="0"/>
              <w:keepLines w:val="0"/>
              <w:pageBreakBefore w:val="0"/>
              <w:widowControl w:val="0"/>
              <w:kinsoku/>
              <w:overflowPunct/>
              <w:topLinePunct w:val="0"/>
              <w:bidi w:val="0"/>
              <w:jc w:val="center"/>
              <w:rPr>
                <w:rFonts w:ascii="Times New Roman" w:hAnsi="Times New Roman"/>
                <w:szCs w:val="21"/>
              </w:rPr>
            </w:pPr>
          </w:p>
        </w:tc>
        <w:tc>
          <w:tcPr>
            <w:tcW w:w="2292" w:type="dxa"/>
            <w:vAlign w:val="center"/>
          </w:tcPr>
          <w:p w14:paraId="121237B5">
            <w:pPr>
              <w:keepNext w:val="0"/>
              <w:keepLines w:val="0"/>
              <w:pageBreakBefore w:val="0"/>
              <w:widowControl w:val="0"/>
              <w:kinsoku/>
              <w:overflowPunct/>
              <w:topLinePunct w:val="0"/>
              <w:bidi w:val="0"/>
              <w:jc w:val="center"/>
              <w:rPr>
                <w:rFonts w:ascii="Times New Roman" w:hAnsi="Times New Roman"/>
                <w:szCs w:val="21"/>
              </w:rPr>
            </w:pPr>
          </w:p>
        </w:tc>
        <w:tc>
          <w:tcPr>
            <w:tcW w:w="1503" w:type="dxa"/>
            <w:vAlign w:val="center"/>
          </w:tcPr>
          <w:p w14:paraId="1DD3D0F5">
            <w:pPr>
              <w:keepNext w:val="0"/>
              <w:keepLines w:val="0"/>
              <w:pageBreakBefore w:val="0"/>
              <w:widowControl w:val="0"/>
              <w:kinsoku/>
              <w:overflowPunct/>
              <w:topLinePunct w:val="0"/>
              <w:bidi w:val="0"/>
              <w:jc w:val="center"/>
              <w:rPr>
                <w:rFonts w:ascii="Times New Roman" w:hAnsi="Times New Roman"/>
                <w:szCs w:val="21"/>
              </w:rPr>
            </w:pPr>
          </w:p>
        </w:tc>
        <w:tc>
          <w:tcPr>
            <w:tcW w:w="720" w:type="dxa"/>
            <w:vAlign w:val="center"/>
          </w:tcPr>
          <w:p w14:paraId="5A256247">
            <w:pPr>
              <w:keepNext w:val="0"/>
              <w:keepLines w:val="0"/>
              <w:pageBreakBefore w:val="0"/>
              <w:widowControl w:val="0"/>
              <w:kinsoku/>
              <w:overflowPunct/>
              <w:topLinePunct w:val="0"/>
              <w:bidi w:val="0"/>
              <w:jc w:val="center"/>
              <w:rPr>
                <w:rFonts w:ascii="Times New Roman" w:hAnsi="Times New Roman"/>
                <w:szCs w:val="21"/>
              </w:rPr>
            </w:pPr>
          </w:p>
        </w:tc>
      </w:tr>
      <w:tr w14:paraId="39E6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246DE3C">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2</w:t>
            </w:r>
          </w:p>
        </w:tc>
        <w:tc>
          <w:tcPr>
            <w:tcW w:w="1213" w:type="dxa"/>
            <w:vAlign w:val="center"/>
          </w:tcPr>
          <w:p w14:paraId="354C9F3C">
            <w:pPr>
              <w:keepNext w:val="0"/>
              <w:keepLines w:val="0"/>
              <w:pageBreakBefore w:val="0"/>
              <w:widowControl w:val="0"/>
              <w:kinsoku/>
              <w:overflowPunct/>
              <w:topLinePunct w:val="0"/>
              <w:bidi w:val="0"/>
              <w:jc w:val="center"/>
              <w:rPr>
                <w:rFonts w:ascii="Times New Roman" w:hAnsi="Times New Roman"/>
                <w:szCs w:val="21"/>
              </w:rPr>
            </w:pPr>
          </w:p>
        </w:tc>
        <w:tc>
          <w:tcPr>
            <w:tcW w:w="1840" w:type="dxa"/>
            <w:vAlign w:val="center"/>
          </w:tcPr>
          <w:p w14:paraId="13D16F35">
            <w:pPr>
              <w:keepNext w:val="0"/>
              <w:keepLines w:val="0"/>
              <w:pageBreakBefore w:val="0"/>
              <w:widowControl w:val="0"/>
              <w:kinsoku/>
              <w:overflowPunct/>
              <w:topLinePunct w:val="0"/>
              <w:bidi w:val="0"/>
              <w:jc w:val="center"/>
              <w:rPr>
                <w:rFonts w:ascii="Times New Roman" w:hAnsi="Times New Roman"/>
                <w:szCs w:val="21"/>
              </w:rPr>
            </w:pPr>
          </w:p>
        </w:tc>
        <w:tc>
          <w:tcPr>
            <w:tcW w:w="818" w:type="dxa"/>
            <w:vAlign w:val="center"/>
          </w:tcPr>
          <w:p w14:paraId="7A3CAAED">
            <w:pPr>
              <w:keepNext w:val="0"/>
              <w:keepLines w:val="0"/>
              <w:pageBreakBefore w:val="0"/>
              <w:widowControl w:val="0"/>
              <w:kinsoku/>
              <w:overflowPunct/>
              <w:topLinePunct w:val="0"/>
              <w:bidi w:val="0"/>
              <w:jc w:val="center"/>
              <w:rPr>
                <w:rFonts w:ascii="Times New Roman" w:hAnsi="Times New Roman"/>
                <w:szCs w:val="21"/>
              </w:rPr>
            </w:pPr>
          </w:p>
        </w:tc>
        <w:tc>
          <w:tcPr>
            <w:tcW w:w="1241" w:type="dxa"/>
            <w:vAlign w:val="center"/>
          </w:tcPr>
          <w:p w14:paraId="7D412F32">
            <w:pPr>
              <w:keepNext w:val="0"/>
              <w:keepLines w:val="0"/>
              <w:pageBreakBefore w:val="0"/>
              <w:widowControl w:val="0"/>
              <w:kinsoku/>
              <w:overflowPunct/>
              <w:topLinePunct w:val="0"/>
              <w:bidi w:val="0"/>
              <w:jc w:val="center"/>
              <w:rPr>
                <w:rFonts w:ascii="Times New Roman" w:hAnsi="Times New Roman"/>
                <w:szCs w:val="21"/>
              </w:rPr>
            </w:pPr>
          </w:p>
        </w:tc>
        <w:tc>
          <w:tcPr>
            <w:tcW w:w="2292" w:type="dxa"/>
            <w:vAlign w:val="center"/>
          </w:tcPr>
          <w:p w14:paraId="325B8691">
            <w:pPr>
              <w:keepNext w:val="0"/>
              <w:keepLines w:val="0"/>
              <w:pageBreakBefore w:val="0"/>
              <w:widowControl w:val="0"/>
              <w:kinsoku/>
              <w:overflowPunct/>
              <w:topLinePunct w:val="0"/>
              <w:bidi w:val="0"/>
              <w:jc w:val="center"/>
              <w:rPr>
                <w:rFonts w:ascii="Times New Roman" w:hAnsi="Times New Roman"/>
                <w:szCs w:val="21"/>
              </w:rPr>
            </w:pPr>
          </w:p>
        </w:tc>
        <w:tc>
          <w:tcPr>
            <w:tcW w:w="1503" w:type="dxa"/>
            <w:vAlign w:val="center"/>
          </w:tcPr>
          <w:p w14:paraId="7A5FABD8">
            <w:pPr>
              <w:keepNext w:val="0"/>
              <w:keepLines w:val="0"/>
              <w:pageBreakBefore w:val="0"/>
              <w:widowControl w:val="0"/>
              <w:kinsoku/>
              <w:overflowPunct/>
              <w:topLinePunct w:val="0"/>
              <w:bidi w:val="0"/>
              <w:jc w:val="center"/>
              <w:rPr>
                <w:rFonts w:ascii="Times New Roman" w:hAnsi="Times New Roman"/>
                <w:szCs w:val="21"/>
              </w:rPr>
            </w:pPr>
          </w:p>
        </w:tc>
        <w:tc>
          <w:tcPr>
            <w:tcW w:w="720" w:type="dxa"/>
            <w:vAlign w:val="center"/>
          </w:tcPr>
          <w:p w14:paraId="3918558A">
            <w:pPr>
              <w:keepNext w:val="0"/>
              <w:keepLines w:val="0"/>
              <w:pageBreakBefore w:val="0"/>
              <w:widowControl w:val="0"/>
              <w:kinsoku/>
              <w:overflowPunct/>
              <w:topLinePunct w:val="0"/>
              <w:bidi w:val="0"/>
              <w:jc w:val="center"/>
              <w:rPr>
                <w:rFonts w:ascii="Times New Roman" w:hAnsi="Times New Roman"/>
                <w:szCs w:val="21"/>
              </w:rPr>
            </w:pPr>
          </w:p>
        </w:tc>
      </w:tr>
    </w:tbl>
    <w:p w14:paraId="2B27CBC9">
      <w:pPr>
        <w:keepNext w:val="0"/>
        <w:keepLines w:val="0"/>
        <w:pageBreakBefore w:val="0"/>
        <w:widowControl w:val="0"/>
        <w:kinsoku/>
        <w:overflowPunct/>
        <w:topLinePunct w:val="0"/>
        <w:bidi w:val="0"/>
        <w:spacing w:line="360" w:lineRule="auto"/>
        <w:rPr>
          <w:rFonts w:ascii="Times New Roman" w:hAnsi="Times New Roman"/>
          <w:szCs w:val="21"/>
        </w:rPr>
      </w:pPr>
      <w:r>
        <w:rPr>
          <w:rFonts w:hint="eastAsia" w:ascii="Times New Roman" w:hAnsi="Times New Roman"/>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提供以上证明材料的扫描件，提供的证书若存在不齐全、已过有效期或其他未被评标委员会接受的瑕疵将不予认可。</w:t>
      </w:r>
      <w:r>
        <w:rPr>
          <w:rFonts w:hint="eastAsia" w:ascii="Times New Roman" w:hAnsi="Times New Roman"/>
          <w:szCs w:val="21"/>
        </w:rPr>
        <w:t>投标产品若不属于上述清单或目录范围内，则无需填写该表。</w:t>
      </w:r>
    </w:p>
    <w:p w14:paraId="28CF6201">
      <w:pPr>
        <w:keepNext w:val="0"/>
        <w:keepLines w:val="0"/>
        <w:pageBreakBefore w:val="0"/>
        <w:widowControl w:val="0"/>
        <w:kinsoku/>
        <w:overflowPunct/>
        <w:topLinePunct w:val="0"/>
        <w:bidi w:val="0"/>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3ABDC90">
      <w:pPr>
        <w:keepNext w:val="0"/>
        <w:keepLines w:val="0"/>
        <w:pageBreakBefore w:val="0"/>
        <w:widowControl w:val="0"/>
        <w:kinsoku/>
        <w:overflowPunct/>
        <w:topLinePunct w:val="0"/>
        <w:bidi w:val="0"/>
        <w:spacing w:line="360" w:lineRule="auto"/>
      </w:pPr>
      <w:r>
        <w:rPr>
          <w:rFonts w:hint="eastAsia" w:ascii="宋体" w:hAnsi="宋体"/>
          <w:szCs w:val="21"/>
        </w:rPr>
        <w:t>3. “属于优先采购清单的类别”栏中填写“节能产品政府采购品目清单”或“环境标志产品政府采购品目清单”。</w:t>
      </w:r>
      <w:r>
        <w:br w:type="page"/>
      </w:r>
    </w:p>
    <w:p w14:paraId="31CD605B">
      <w:pPr>
        <w:keepNext w:val="0"/>
        <w:keepLines w:val="0"/>
        <w:pageBreakBefore w:val="0"/>
        <w:widowControl w:val="0"/>
        <w:kinsoku/>
        <w:overflowPunct/>
        <w:topLinePunct w:val="0"/>
        <w:bidi w:val="0"/>
        <w:rPr>
          <w:rFonts w:ascii="仿宋_GB2312" w:eastAsia="仿宋_GB2312"/>
          <w:b/>
          <w:color w:val="FF0000"/>
          <w:sz w:val="30"/>
          <w:szCs w:val="30"/>
        </w:rPr>
      </w:pPr>
      <w:r>
        <w:rPr>
          <w:rFonts w:hint="eastAsia" w:ascii="仿宋_GB2312" w:eastAsia="仿宋_GB2312"/>
          <w:b/>
          <w:color w:val="FF0000"/>
          <w:sz w:val="30"/>
          <w:szCs w:val="30"/>
        </w:rPr>
        <w:t>投标文件附件（信息不公开部分）：</w:t>
      </w:r>
    </w:p>
    <w:p w14:paraId="5A4C6EB0">
      <w:pPr>
        <w:keepNext w:val="0"/>
        <w:keepLines w:val="0"/>
        <w:pageBreakBefore w:val="0"/>
        <w:widowControl w:val="0"/>
        <w:kinsoku/>
        <w:overflowPunct/>
        <w:topLinePunct w:val="0"/>
        <w:bidi w:val="0"/>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五、政府采购违法行为风险知悉确认书</w:t>
      </w:r>
    </w:p>
    <w:p w14:paraId="5CB0B263">
      <w:pPr>
        <w:keepNext w:val="0"/>
        <w:keepLines w:val="0"/>
        <w:pageBreakBefore w:val="0"/>
        <w:widowControl w:val="0"/>
        <w:kinsoku/>
        <w:overflowPunct/>
        <w:topLinePunct w:val="0"/>
        <w:bidi w:val="0"/>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tcPr>
          <w:p w14:paraId="3E05CF02">
            <w:pPr>
              <w:keepNext w:val="0"/>
              <w:keepLines w:val="0"/>
              <w:pageBreakBefore w:val="0"/>
              <w:widowControl w:val="0"/>
              <w:kinsoku/>
              <w:overflowPunct/>
              <w:topLinePunct w:val="0"/>
              <w:bidi w:val="0"/>
              <w:spacing w:line="400" w:lineRule="exact"/>
              <w:jc w:val="center"/>
              <w:rPr>
                <w:rFonts w:ascii="宋体" w:hAnsi="宋体" w:cs="宋体"/>
                <w:szCs w:val="21"/>
              </w:rPr>
            </w:pPr>
            <w:r>
              <w:rPr>
                <w:rFonts w:hint="eastAsia" w:ascii="宋体" w:hAnsi="宋体" w:cs="宋体"/>
                <w:szCs w:val="21"/>
              </w:rPr>
              <w:t>序号</w:t>
            </w:r>
          </w:p>
        </w:tc>
        <w:tc>
          <w:tcPr>
            <w:tcW w:w="7811" w:type="dxa"/>
          </w:tcPr>
          <w:p w14:paraId="412DAAE6">
            <w:pPr>
              <w:keepNext w:val="0"/>
              <w:keepLines w:val="0"/>
              <w:pageBreakBefore w:val="0"/>
              <w:widowControl w:val="0"/>
              <w:kinsoku/>
              <w:overflowPunct/>
              <w:topLinePunct w:val="0"/>
              <w:bidi w:val="0"/>
              <w:spacing w:line="400" w:lineRule="exact"/>
              <w:jc w:val="center"/>
              <w:rPr>
                <w:rFonts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49A6D05A">
            <w:pPr>
              <w:keepNext w:val="0"/>
              <w:keepLines w:val="0"/>
              <w:pageBreakBefore w:val="0"/>
              <w:widowControl w:val="0"/>
              <w:kinsoku/>
              <w:overflowPunct/>
              <w:topLinePunct w:val="0"/>
              <w:bidi w:val="0"/>
              <w:spacing w:line="400" w:lineRule="exact"/>
              <w:jc w:val="center"/>
              <w:rPr>
                <w:rFonts w:ascii="宋体" w:hAnsi="宋体" w:cs="宋体"/>
                <w:szCs w:val="21"/>
              </w:rPr>
            </w:pPr>
            <w:r>
              <w:rPr>
                <w:rFonts w:hint="eastAsia" w:ascii="宋体" w:hAnsi="宋体" w:cs="宋体"/>
                <w:szCs w:val="21"/>
              </w:rPr>
              <w:t>1</w:t>
            </w:r>
          </w:p>
        </w:tc>
        <w:tc>
          <w:tcPr>
            <w:tcW w:w="7811" w:type="dxa"/>
            <w:vAlign w:val="center"/>
          </w:tcPr>
          <w:p w14:paraId="1265B94A">
            <w:pPr>
              <w:keepNext w:val="0"/>
              <w:keepLines w:val="0"/>
              <w:pageBreakBefore w:val="0"/>
              <w:widowControl w:val="0"/>
              <w:kinsoku/>
              <w:overflowPunct/>
              <w:topLinePunct w:val="0"/>
              <w:bidi w:val="0"/>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0D7CD15E">
            <w:pPr>
              <w:keepNext w:val="0"/>
              <w:keepLines w:val="0"/>
              <w:pageBreakBefore w:val="0"/>
              <w:widowControl w:val="0"/>
              <w:kinsoku/>
              <w:overflowPunct/>
              <w:topLinePunct w:val="0"/>
              <w:bidi w:val="0"/>
              <w:spacing w:line="400" w:lineRule="exact"/>
              <w:jc w:val="center"/>
              <w:rPr>
                <w:rFonts w:ascii="宋体" w:hAnsi="宋体" w:cs="宋体"/>
                <w:szCs w:val="21"/>
              </w:rPr>
            </w:pPr>
            <w:r>
              <w:rPr>
                <w:rFonts w:hint="eastAsia" w:ascii="宋体" w:hAnsi="宋体" w:cs="宋体"/>
                <w:szCs w:val="21"/>
              </w:rPr>
              <w:t>2</w:t>
            </w:r>
          </w:p>
        </w:tc>
        <w:tc>
          <w:tcPr>
            <w:tcW w:w="7811" w:type="dxa"/>
            <w:vAlign w:val="center"/>
          </w:tcPr>
          <w:p w14:paraId="797AA8E1">
            <w:pPr>
              <w:keepNext w:val="0"/>
              <w:keepLines w:val="0"/>
              <w:pageBreakBefore w:val="0"/>
              <w:widowControl w:val="0"/>
              <w:kinsoku/>
              <w:overflowPunct/>
              <w:topLinePunct w:val="0"/>
              <w:bidi w:val="0"/>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5E679059">
            <w:pPr>
              <w:keepNext w:val="0"/>
              <w:keepLines w:val="0"/>
              <w:pageBreakBefore w:val="0"/>
              <w:widowControl w:val="0"/>
              <w:kinsoku/>
              <w:overflowPunct/>
              <w:topLinePunct w:val="0"/>
              <w:bidi w:val="0"/>
              <w:spacing w:line="400" w:lineRule="exact"/>
              <w:jc w:val="center"/>
              <w:rPr>
                <w:rFonts w:ascii="宋体" w:hAnsi="宋体" w:cs="宋体"/>
                <w:szCs w:val="21"/>
              </w:rPr>
            </w:pPr>
            <w:r>
              <w:rPr>
                <w:rFonts w:hint="eastAsia" w:ascii="宋体" w:hAnsi="宋体" w:cs="宋体"/>
                <w:szCs w:val="21"/>
              </w:rPr>
              <w:t>3</w:t>
            </w:r>
          </w:p>
        </w:tc>
        <w:tc>
          <w:tcPr>
            <w:tcW w:w="7811" w:type="dxa"/>
            <w:vAlign w:val="center"/>
          </w:tcPr>
          <w:p w14:paraId="5E67F49B">
            <w:pPr>
              <w:keepNext w:val="0"/>
              <w:keepLines w:val="0"/>
              <w:pageBreakBefore w:val="0"/>
              <w:widowControl w:val="0"/>
              <w:kinsoku/>
              <w:overflowPunct/>
              <w:topLinePunct w:val="0"/>
              <w:bidi w:val="0"/>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75350211">
            <w:pPr>
              <w:keepNext w:val="0"/>
              <w:keepLines w:val="0"/>
              <w:pageBreakBefore w:val="0"/>
              <w:widowControl w:val="0"/>
              <w:kinsoku/>
              <w:overflowPunct/>
              <w:topLinePunct w:val="0"/>
              <w:bidi w:val="0"/>
              <w:spacing w:line="400" w:lineRule="exact"/>
              <w:jc w:val="center"/>
              <w:rPr>
                <w:rFonts w:ascii="宋体" w:hAnsi="宋体" w:cs="宋体"/>
                <w:szCs w:val="21"/>
              </w:rPr>
            </w:pPr>
            <w:r>
              <w:rPr>
                <w:rFonts w:hint="eastAsia" w:ascii="宋体" w:hAnsi="宋体" w:cs="宋体"/>
                <w:szCs w:val="21"/>
              </w:rPr>
              <w:t>4</w:t>
            </w:r>
          </w:p>
        </w:tc>
        <w:tc>
          <w:tcPr>
            <w:tcW w:w="7811" w:type="dxa"/>
            <w:vAlign w:val="center"/>
          </w:tcPr>
          <w:p w14:paraId="59B8C463">
            <w:pPr>
              <w:keepNext w:val="0"/>
              <w:keepLines w:val="0"/>
              <w:pageBreakBefore w:val="0"/>
              <w:widowControl w:val="0"/>
              <w:kinsoku/>
              <w:overflowPunct/>
              <w:topLinePunct w:val="0"/>
              <w:bidi w:val="0"/>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22BB0603">
            <w:pPr>
              <w:keepNext w:val="0"/>
              <w:keepLines w:val="0"/>
              <w:pageBreakBefore w:val="0"/>
              <w:widowControl w:val="0"/>
              <w:kinsoku/>
              <w:overflowPunct/>
              <w:topLinePunct w:val="0"/>
              <w:bidi w:val="0"/>
              <w:spacing w:line="400" w:lineRule="exact"/>
              <w:jc w:val="center"/>
              <w:rPr>
                <w:rFonts w:ascii="宋体" w:hAnsi="宋体" w:cs="宋体"/>
                <w:szCs w:val="21"/>
              </w:rPr>
            </w:pPr>
            <w:r>
              <w:rPr>
                <w:rFonts w:hint="eastAsia" w:ascii="宋体" w:hAnsi="宋体" w:cs="宋体"/>
                <w:szCs w:val="21"/>
              </w:rPr>
              <w:t>5</w:t>
            </w:r>
          </w:p>
        </w:tc>
        <w:tc>
          <w:tcPr>
            <w:tcW w:w="7811" w:type="dxa"/>
            <w:vAlign w:val="center"/>
          </w:tcPr>
          <w:p w14:paraId="203DDD8C">
            <w:pPr>
              <w:keepNext w:val="0"/>
              <w:keepLines w:val="0"/>
              <w:pageBreakBefore w:val="0"/>
              <w:widowControl w:val="0"/>
              <w:kinsoku/>
              <w:overflowPunct/>
              <w:topLinePunct w:val="0"/>
              <w:bidi w:val="0"/>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2FA0211A">
            <w:pPr>
              <w:keepNext w:val="0"/>
              <w:keepLines w:val="0"/>
              <w:pageBreakBefore w:val="0"/>
              <w:widowControl w:val="0"/>
              <w:kinsoku/>
              <w:overflowPunct/>
              <w:topLinePunct w:val="0"/>
              <w:bidi w:val="0"/>
              <w:spacing w:line="400" w:lineRule="exact"/>
              <w:jc w:val="center"/>
              <w:rPr>
                <w:rFonts w:ascii="宋体" w:hAnsi="宋体" w:cs="宋体"/>
                <w:szCs w:val="21"/>
              </w:rPr>
            </w:pPr>
            <w:r>
              <w:rPr>
                <w:rFonts w:hint="eastAsia" w:ascii="宋体" w:hAnsi="宋体" w:cs="宋体"/>
                <w:szCs w:val="21"/>
              </w:rPr>
              <w:t>6</w:t>
            </w:r>
          </w:p>
        </w:tc>
        <w:tc>
          <w:tcPr>
            <w:tcW w:w="7811" w:type="dxa"/>
            <w:vAlign w:val="center"/>
          </w:tcPr>
          <w:p w14:paraId="51191FB9">
            <w:pPr>
              <w:keepNext w:val="0"/>
              <w:keepLines w:val="0"/>
              <w:pageBreakBefore w:val="0"/>
              <w:widowControl w:val="0"/>
              <w:kinsoku/>
              <w:overflowPunct/>
              <w:topLinePunct w:val="0"/>
              <w:bidi w:val="0"/>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0F8DDAD">
      <w:pPr>
        <w:keepNext w:val="0"/>
        <w:keepLines w:val="0"/>
        <w:pageBreakBefore w:val="0"/>
        <w:widowControl w:val="0"/>
        <w:kinsoku/>
        <w:overflowPunct/>
        <w:topLinePunct w:val="0"/>
        <w:bidi w:val="0"/>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keepNext w:val="0"/>
        <w:keepLines w:val="0"/>
        <w:pageBreakBefore w:val="0"/>
        <w:widowControl w:val="0"/>
        <w:kinsoku/>
        <w:overflowPunct/>
        <w:topLinePunct w:val="0"/>
        <w:bidi w:val="0"/>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7CA43375">
      <w:pPr>
        <w:keepNext w:val="0"/>
        <w:keepLines w:val="0"/>
        <w:pageBreakBefore w:val="0"/>
        <w:widowControl w:val="0"/>
        <w:kinsoku/>
        <w:overflowPunct/>
        <w:topLinePunct w:val="0"/>
        <w:bidi w:val="0"/>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keepNext w:val="0"/>
        <w:keepLines w:val="0"/>
        <w:pageBreakBefore w:val="0"/>
        <w:widowControl w:val="0"/>
        <w:kinsoku/>
        <w:overflowPunct/>
        <w:topLinePunct w:val="0"/>
        <w:bidi w:val="0"/>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4400D2C">
      <w:pPr>
        <w:keepNext w:val="0"/>
        <w:keepLines w:val="0"/>
        <w:pageBreakBefore w:val="0"/>
        <w:widowControl w:val="0"/>
        <w:kinsoku/>
        <w:overflowPunct/>
        <w:topLinePunct w:val="0"/>
        <w:bidi w:val="0"/>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4E6A9C4A">
      <w:pPr>
        <w:keepNext w:val="0"/>
        <w:keepLines w:val="0"/>
        <w:pageBreakBefore w:val="0"/>
        <w:widowControl w:val="0"/>
        <w:kinsoku/>
        <w:overflowPunct/>
        <w:topLinePunct w:val="0"/>
        <w:bidi w:val="0"/>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0CC03085">
      <w:pPr>
        <w:keepNext w:val="0"/>
        <w:keepLines w:val="0"/>
        <w:pageBreakBefore w:val="0"/>
        <w:widowControl w:val="0"/>
        <w:kinsoku/>
        <w:overflowPunct/>
        <w:topLinePunct w:val="0"/>
        <w:bidi w:val="0"/>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keepNext w:val="0"/>
        <w:keepLines w:val="0"/>
        <w:pageBreakBefore w:val="0"/>
        <w:widowControl w:val="0"/>
        <w:kinsoku/>
        <w:overflowPunct/>
        <w:topLinePunct w:val="0"/>
        <w:bidi w:val="0"/>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3126EA3D">
      <w:pPr>
        <w:keepNext w:val="0"/>
        <w:keepLines w:val="0"/>
        <w:pageBreakBefore w:val="0"/>
        <w:widowControl w:val="0"/>
        <w:kinsoku/>
        <w:overflowPunct/>
        <w:topLinePunct w:val="0"/>
        <w:bidi w:val="0"/>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1742AF5D">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2F9BE30C">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11904061">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059708F3">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BF08C7F">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0F036128">
      <w:pPr>
        <w:keepNext w:val="0"/>
        <w:keepLines w:val="0"/>
        <w:pageBreakBefore w:val="0"/>
        <w:widowControl w:val="0"/>
        <w:kinsoku/>
        <w:overflowPunct/>
        <w:topLinePunct w:val="0"/>
        <w:bidi w:val="0"/>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keepNext w:val="0"/>
        <w:keepLines w:val="0"/>
        <w:pageBreakBefore w:val="0"/>
        <w:widowControl w:val="0"/>
        <w:kinsoku/>
        <w:overflowPunct/>
        <w:topLinePunct w:val="0"/>
        <w:bidi w:val="0"/>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keepNext w:val="0"/>
        <w:keepLines w:val="0"/>
        <w:pageBreakBefore w:val="0"/>
        <w:widowControl w:val="0"/>
        <w:kinsoku/>
        <w:overflowPunct/>
        <w:topLinePunct w:val="0"/>
        <w:bidi w:val="0"/>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0E153D11">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keepNext w:val="0"/>
        <w:keepLines w:val="0"/>
        <w:pageBreakBefore w:val="0"/>
        <w:widowControl w:val="0"/>
        <w:kinsoku/>
        <w:overflowPunct/>
        <w:topLinePunct w:val="0"/>
        <w:bidi w:val="0"/>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21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654ADD62">
            <w:pPr>
              <w:keepNext w:val="0"/>
              <w:keepLines w:val="0"/>
              <w:pageBreakBefore w:val="0"/>
              <w:widowControl w:val="0"/>
              <w:kinsoku/>
              <w:overflowPunct/>
              <w:topLinePunct w:val="0"/>
              <w:autoSpaceDE w:val="0"/>
              <w:autoSpaceDN w:val="0"/>
              <w:bidi w:val="0"/>
              <w:spacing w:line="340" w:lineRule="exact"/>
              <w:ind w:firstLine="1866"/>
              <w:rPr>
                <w:rFonts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A19D97E">
            <w:pPr>
              <w:keepNext w:val="0"/>
              <w:keepLines w:val="0"/>
              <w:pageBreakBefore w:val="0"/>
              <w:widowControl w:val="0"/>
              <w:kinsoku/>
              <w:overflowPunct/>
              <w:topLinePunct w:val="0"/>
              <w:autoSpaceDE w:val="0"/>
              <w:autoSpaceDN w:val="0"/>
              <w:bidi w:val="0"/>
              <w:spacing w:line="340" w:lineRule="exact"/>
              <w:ind w:firstLine="1866"/>
              <w:rPr>
                <w:rFonts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1CB465E">
            <w:pPr>
              <w:keepNext w:val="0"/>
              <w:keepLines w:val="0"/>
              <w:pageBreakBefore w:val="0"/>
              <w:widowControl w:val="0"/>
              <w:kinsoku/>
              <w:overflowPunct/>
              <w:topLinePunct w:val="0"/>
              <w:autoSpaceDE w:val="0"/>
              <w:autoSpaceDN w:val="0"/>
              <w:bidi w:val="0"/>
              <w:spacing w:line="340" w:lineRule="exact"/>
              <w:ind w:firstLine="1866"/>
              <w:rPr>
                <w:rFonts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F4F98A9">
            <w:pPr>
              <w:keepNext w:val="0"/>
              <w:keepLines w:val="0"/>
              <w:pageBreakBefore w:val="0"/>
              <w:widowControl w:val="0"/>
              <w:kinsoku/>
              <w:overflowPunct/>
              <w:topLinePunct w:val="0"/>
              <w:autoSpaceDE w:val="0"/>
              <w:autoSpaceDN w:val="0"/>
              <w:bidi w:val="0"/>
              <w:spacing w:line="340" w:lineRule="exact"/>
              <w:ind w:firstLine="1866"/>
              <w:rPr>
                <w:rFonts w:ascii="宋体" w:hAnsi="宋体" w:cs="宋体"/>
                <w:spacing w:val="-4"/>
                <w:kern w:val="0"/>
                <w:szCs w:val="21"/>
              </w:rPr>
            </w:pPr>
          </w:p>
        </w:tc>
      </w:tr>
    </w:tbl>
    <w:p w14:paraId="734B8372">
      <w:pPr>
        <w:keepNext w:val="0"/>
        <w:keepLines w:val="0"/>
        <w:pageBreakBefore w:val="0"/>
        <w:widowControl w:val="0"/>
        <w:kinsoku/>
        <w:wordWrap w:val="0"/>
        <w:overflowPunct/>
        <w:topLinePunct w:val="0"/>
        <w:autoSpaceDE w:val="0"/>
        <w:autoSpaceDN w:val="0"/>
        <w:bidi w:val="0"/>
        <w:spacing w:line="340" w:lineRule="exact"/>
        <w:ind w:right="808" w:firstLine="404" w:firstLineChars="200"/>
        <w:jc w:val="right"/>
        <w:rPr>
          <w:rFonts w:ascii="宋体" w:hAnsi="宋体" w:cs="宋体"/>
          <w:spacing w:val="-4"/>
          <w:kern w:val="0"/>
          <w:szCs w:val="21"/>
        </w:rPr>
      </w:pPr>
    </w:p>
    <w:p w14:paraId="477D1362">
      <w:pPr>
        <w:keepNext w:val="0"/>
        <w:keepLines w:val="0"/>
        <w:pageBreakBefore w:val="0"/>
        <w:widowControl w:val="0"/>
        <w:kinsoku/>
        <w:wordWrap w:val="0"/>
        <w:overflowPunct/>
        <w:topLinePunct w:val="0"/>
        <w:autoSpaceDE w:val="0"/>
        <w:autoSpaceDN w:val="0"/>
        <w:bidi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keepNext w:val="0"/>
        <w:keepLines w:val="0"/>
        <w:pageBreakBefore w:val="0"/>
        <w:widowControl w:val="0"/>
        <w:kinsoku/>
        <w:wordWrap w:val="0"/>
        <w:overflowPunct/>
        <w:topLinePunct w:val="0"/>
        <w:autoSpaceDE w:val="0"/>
        <w:autoSpaceDN w:val="0"/>
        <w:bidi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keepNext w:val="0"/>
        <w:keepLines w:val="0"/>
        <w:pageBreakBefore w:val="0"/>
        <w:widowControl w:val="0"/>
        <w:kinsoku/>
        <w:wordWrap w:val="0"/>
        <w:overflowPunct/>
        <w:topLinePunct w:val="0"/>
        <w:autoSpaceDE w:val="0"/>
        <w:autoSpaceDN w:val="0"/>
        <w:bidi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191FF75E">
      <w:pPr>
        <w:keepNext w:val="0"/>
        <w:keepLines w:val="0"/>
        <w:pageBreakBefore w:val="0"/>
        <w:widowControl w:val="0"/>
        <w:kinsoku/>
        <w:overflowPunct/>
        <w:topLinePunct w:val="0"/>
        <w:autoSpaceDE w:val="0"/>
        <w:autoSpaceDN w:val="0"/>
        <w:bidi w:val="0"/>
        <w:spacing w:line="340" w:lineRule="exact"/>
        <w:ind w:firstLine="406" w:firstLineChars="200"/>
        <w:jc w:val="left"/>
        <w:rPr>
          <w:rFonts w:ascii="宋体" w:hAnsi="宋体" w:cs="宋体"/>
          <w:b/>
          <w:bCs/>
          <w:spacing w:val="-4"/>
          <w:kern w:val="0"/>
          <w:szCs w:val="21"/>
        </w:rPr>
      </w:pPr>
    </w:p>
    <w:p w14:paraId="6C3CD24F">
      <w:pPr>
        <w:keepNext w:val="0"/>
        <w:keepLines w:val="0"/>
        <w:pageBreakBefore w:val="0"/>
        <w:widowControl w:val="0"/>
        <w:kinsoku/>
        <w:overflowPunct/>
        <w:topLinePunct w:val="0"/>
        <w:autoSpaceDE w:val="0"/>
        <w:autoSpaceDN w:val="0"/>
        <w:bidi w:val="0"/>
        <w:spacing w:line="340" w:lineRule="exact"/>
        <w:ind w:firstLine="406" w:firstLineChars="200"/>
        <w:jc w:val="left"/>
        <w:rPr>
          <w:rFonts w:ascii="宋体" w:hAnsi="宋体" w:cs="宋体"/>
          <w:kern w:val="0"/>
          <w:szCs w:val="21"/>
          <w:lang w:bidi="ar"/>
        </w:rPr>
      </w:pPr>
      <w:r>
        <w:rPr>
          <w:rFonts w:hint="eastAsia" w:ascii="宋体" w:hAnsi="宋体" w:cs="宋体"/>
          <w:b/>
          <w:bCs/>
          <w:spacing w:val="-4"/>
          <w:kern w:val="0"/>
          <w:szCs w:val="21"/>
        </w:rPr>
        <w:t>注：《政府采购违法行为风险知悉确认书》需由投标供应商负责人签字并加盖单位公章后，扫描上传至投标文件一并提交。</w:t>
      </w:r>
    </w:p>
    <w:p w14:paraId="611A01EA">
      <w:pPr>
        <w:keepNext w:val="0"/>
        <w:keepLines w:val="0"/>
        <w:pageBreakBefore w:val="0"/>
        <w:widowControl w:val="0"/>
        <w:kinsoku/>
        <w:overflowPunct/>
        <w:topLinePunct w:val="0"/>
        <w:bidi w:val="0"/>
        <w:spacing w:line="360" w:lineRule="auto"/>
        <w:ind w:firstLine="422" w:firstLineChars="200"/>
        <w:rPr>
          <w:rFonts w:ascii="宋体" w:hAnsi="宋体"/>
          <w:b/>
          <w:bCs/>
          <w:szCs w:val="21"/>
        </w:rPr>
      </w:pPr>
    </w:p>
    <w:p w14:paraId="14C00354">
      <w:pPr>
        <w:keepNext w:val="0"/>
        <w:keepLines w:val="0"/>
        <w:pageBreakBefore w:val="0"/>
        <w:widowControl w:val="0"/>
        <w:kinsoku/>
        <w:overflowPunct/>
        <w:topLinePunct w:val="0"/>
        <w:bidi w:val="0"/>
        <w:rPr>
          <w:rFonts w:ascii="宋体" w:hAnsi="宋体"/>
          <w:szCs w:val="21"/>
        </w:rPr>
      </w:pPr>
      <w:r>
        <w:rPr>
          <w:rFonts w:hint="eastAsia"/>
          <w:szCs w:val="21"/>
          <w:u w:val="single"/>
        </w:rPr>
        <w:t>（备注：如联合体投标，仅需加盖牵头人的公章）</w:t>
      </w:r>
    </w:p>
    <w:p w14:paraId="40F12D0C">
      <w:pPr>
        <w:keepNext w:val="0"/>
        <w:keepLines w:val="0"/>
        <w:pageBreakBefore w:val="0"/>
        <w:widowControl w:val="0"/>
        <w:kinsoku/>
        <w:overflowPunct/>
        <w:topLinePunct w:val="0"/>
        <w:bidi w:val="0"/>
        <w:rPr>
          <w:rFonts w:ascii="黑体" w:hAnsi="宋体" w:eastAsia="黑体"/>
          <w:bCs/>
          <w:kern w:val="0"/>
          <w:sz w:val="24"/>
          <w:szCs w:val="32"/>
        </w:rPr>
      </w:pPr>
      <w:r>
        <w:rPr>
          <w:rFonts w:hint="eastAsia" w:ascii="黑体" w:hAnsi="宋体" w:eastAsia="黑体"/>
          <w:bCs/>
          <w:kern w:val="0"/>
          <w:sz w:val="24"/>
          <w:szCs w:val="32"/>
        </w:rPr>
        <w:br w:type="page"/>
      </w:r>
    </w:p>
    <w:p w14:paraId="25FB7854">
      <w:pPr>
        <w:keepNext w:val="0"/>
        <w:keepLines w:val="0"/>
        <w:pageBreakBefore w:val="0"/>
        <w:widowControl w:val="0"/>
        <w:kinsoku/>
        <w:overflowPunct/>
        <w:topLinePunct w:val="0"/>
        <w:bidi w:val="0"/>
        <w:ind w:firstLine="480" w:firstLineChars="200"/>
        <w:rPr>
          <w:rFonts w:ascii="黑体" w:hAnsi="宋体" w:eastAsia="黑体"/>
          <w:bCs/>
          <w:kern w:val="0"/>
          <w:sz w:val="24"/>
          <w:szCs w:val="32"/>
        </w:rPr>
      </w:pPr>
    </w:p>
    <w:p w14:paraId="24FD56D6">
      <w:pPr>
        <w:keepNext w:val="0"/>
        <w:keepLines w:val="0"/>
        <w:pageBreakBefore w:val="0"/>
        <w:widowControl w:val="0"/>
        <w:kinsoku/>
        <w:overflowPunct/>
        <w:topLinePunct w:val="0"/>
        <w:bidi w:val="0"/>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六、法定代表人（负责人）资格证明书</w:t>
      </w:r>
    </w:p>
    <w:p w14:paraId="3228A135">
      <w:pPr>
        <w:keepNext w:val="0"/>
        <w:keepLines w:val="0"/>
        <w:pageBreakBefore w:val="0"/>
        <w:widowControl w:val="0"/>
        <w:kinsoku/>
        <w:overflowPunct/>
        <w:topLinePunct w:val="0"/>
        <w:bidi w:val="0"/>
        <w:rPr>
          <w:rFonts w:ascii="Times New Roman" w:hAnsi="Times New Roman"/>
          <w:sz w:val="24"/>
          <w:szCs w:val="24"/>
        </w:rPr>
      </w:pPr>
    </w:p>
    <w:p w14:paraId="6DF6D4C8">
      <w:pPr>
        <w:keepNext w:val="0"/>
        <w:keepLines w:val="0"/>
        <w:pageBreakBefore w:val="0"/>
        <w:widowControl w:val="0"/>
        <w:kinsoku/>
        <w:overflowPunct/>
        <w:topLinePunct w:val="0"/>
        <w:bidi w:val="0"/>
        <w:spacing w:line="360" w:lineRule="auto"/>
        <w:rPr>
          <w:rFonts w:ascii="Times New Roman" w:hAnsi="Times New Roman"/>
          <w:szCs w:val="21"/>
        </w:rPr>
      </w:pP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同志，现任我单位</w:t>
      </w:r>
      <w:r>
        <w:rPr>
          <w:rFonts w:hint="eastAsia" w:ascii="Times New Roman" w:hAnsi="Times New Roman"/>
          <w:szCs w:val="21"/>
          <w:u w:val="single"/>
        </w:rPr>
        <w:t xml:space="preserve">         </w:t>
      </w:r>
      <w:r>
        <w:rPr>
          <w:rFonts w:hint="eastAsia" w:ascii="Times New Roman" w:hAnsi="Times New Roman"/>
          <w:szCs w:val="21"/>
        </w:rPr>
        <w:t>职务，为法定代表人</w:t>
      </w:r>
      <w:r>
        <w:rPr>
          <w:rFonts w:hint="eastAsia" w:ascii="黑体" w:hAnsi="Times New Roman" w:eastAsia="黑体"/>
          <w:b/>
          <w:kern w:val="0"/>
          <w:sz w:val="24"/>
          <w:szCs w:val="24"/>
        </w:rPr>
        <w:t>（负责人）</w:t>
      </w:r>
      <w:r>
        <w:rPr>
          <w:rFonts w:hint="eastAsia" w:ascii="Times New Roman" w:hAnsi="Times New Roman"/>
          <w:szCs w:val="21"/>
        </w:rPr>
        <w:t>，特此证明。</w:t>
      </w:r>
    </w:p>
    <w:p w14:paraId="1953284E">
      <w:pPr>
        <w:keepNext w:val="0"/>
        <w:keepLines w:val="0"/>
        <w:pageBreakBefore w:val="0"/>
        <w:widowControl w:val="0"/>
        <w:kinsoku/>
        <w:overflowPunct/>
        <w:topLinePunct w:val="0"/>
        <w:bidi w:val="0"/>
        <w:spacing w:line="360" w:lineRule="auto"/>
        <w:rPr>
          <w:rFonts w:ascii="Times New Roman" w:hAnsi="Times New Roman"/>
          <w:szCs w:val="21"/>
        </w:rPr>
      </w:pPr>
      <w:r>
        <w:rPr>
          <w:rFonts w:hint="eastAsia" w:ascii="Times New Roman" w:hAnsi="Times New Roman"/>
          <w:szCs w:val="21"/>
        </w:rPr>
        <w:t>说明：1、法定代表人为企业事业单位、国家机关、社会团体的主要负责人。</w:t>
      </w:r>
    </w:p>
    <w:p w14:paraId="6A311A90">
      <w:pPr>
        <w:keepNext w:val="0"/>
        <w:keepLines w:val="0"/>
        <w:pageBreakBefore w:val="0"/>
        <w:widowControl w:val="0"/>
        <w:kinsoku/>
        <w:overflowPunct/>
        <w:topLinePunct w:val="0"/>
        <w:bidi w:val="0"/>
        <w:rPr>
          <w:rFonts w:ascii="Times New Roman" w:hAnsi="Times New Roman"/>
          <w:szCs w:val="21"/>
        </w:rPr>
      </w:pPr>
      <w:r>
        <w:rPr>
          <w:rFonts w:hint="eastAsia" w:ascii="Times New Roman" w:hAnsi="Times New Roman"/>
          <w:szCs w:val="21"/>
        </w:rPr>
        <w:t xml:space="preserve">      2、内容必须填写真实、清楚，涂改无效，不得转让、买卖。</w:t>
      </w:r>
    </w:p>
    <w:p w14:paraId="736239C4">
      <w:pPr>
        <w:keepNext w:val="0"/>
        <w:keepLines w:val="0"/>
        <w:pageBreakBefore w:val="0"/>
        <w:widowControl w:val="0"/>
        <w:kinsoku/>
        <w:overflowPunct/>
        <w:topLinePunct w:val="0"/>
        <w:bidi w:val="0"/>
        <w:spacing w:line="360" w:lineRule="auto"/>
        <w:rPr>
          <w:rFonts w:ascii="Times New Roman" w:hAnsi="Times New Roman"/>
          <w:b/>
          <w:szCs w:val="21"/>
        </w:rPr>
      </w:pPr>
    </w:p>
    <w:p w14:paraId="3FC624DB">
      <w:pPr>
        <w:keepNext w:val="0"/>
        <w:keepLines w:val="0"/>
        <w:pageBreakBefore w:val="0"/>
        <w:widowControl w:val="0"/>
        <w:kinsoku/>
        <w:overflowPunct/>
        <w:topLinePunct w:val="0"/>
        <w:bidi w:val="0"/>
        <w:spacing w:line="360" w:lineRule="auto"/>
        <w:rPr>
          <w:rFonts w:ascii="Times New Roman" w:hAnsi="Times New Roman"/>
          <w:b/>
          <w:sz w:val="24"/>
          <w:szCs w:val="24"/>
        </w:rPr>
      </w:pPr>
      <w:r>
        <w:rPr>
          <w:rFonts w:hint="eastAsia" w:ascii="Times New Roman" w:hAnsi="Times New Roman"/>
          <w:b/>
          <w:sz w:val="24"/>
          <w:szCs w:val="24"/>
        </w:rPr>
        <w:t>附：要求必须提供法定代表人（负责人）身份证扫描件（正反两面）且在有效期限内。</w:t>
      </w:r>
    </w:p>
    <w:p w14:paraId="7CD4E134">
      <w:pPr>
        <w:keepNext w:val="0"/>
        <w:keepLines w:val="0"/>
        <w:pageBreakBefore w:val="0"/>
        <w:widowControl w:val="0"/>
        <w:kinsoku/>
        <w:overflowPunct/>
        <w:topLinePunct w:val="0"/>
        <w:bidi w:val="0"/>
        <w:spacing w:line="360" w:lineRule="auto"/>
        <w:rPr>
          <w:rFonts w:ascii="Times New Roman" w:hAnsi="Times New Roman"/>
          <w:b/>
          <w:sz w:val="24"/>
          <w:szCs w:val="24"/>
        </w:rPr>
      </w:pPr>
    </w:p>
    <w:p w14:paraId="6FD90234">
      <w:pPr>
        <w:keepNext w:val="0"/>
        <w:keepLines w:val="0"/>
        <w:pageBreakBefore w:val="0"/>
        <w:widowControl w:val="0"/>
        <w:kinsoku/>
        <w:overflowPunct/>
        <w:topLinePunct w:val="0"/>
        <w:bidi w:val="0"/>
        <w:rPr>
          <w:rFonts w:ascii="宋体" w:hAnsi="宋体"/>
          <w:szCs w:val="21"/>
        </w:rPr>
      </w:pPr>
      <w:r>
        <w:rPr>
          <w:rFonts w:hint="eastAsia"/>
          <w:szCs w:val="21"/>
          <w:u w:val="single"/>
        </w:rPr>
        <w:t>（备注：如联合体投标，单位一栏仅需填写牵头人的名称）</w:t>
      </w:r>
    </w:p>
    <w:p w14:paraId="36E077AB">
      <w:pPr>
        <w:keepNext w:val="0"/>
        <w:keepLines w:val="0"/>
        <w:pageBreakBefore w:val="0"/>
        <w:widowControl w:val="0"/>
        <w:kinsoku/>
        <w:overflowPunct/>
        <w:topLinePunct w:val="0"/>
        <w:bidi w:val="0"/>
        <w:spacing w:line="360" w:lineRule="auto"/>
        <w:rPr>
          <w:rFonts w:ascii="Times New Roman" w:hAnsi="Times New Roman"/>
          <w:b/>
          <w:sz w:val="24"/>
          <w:szCs w:val="24"/>
        </w:rPr>
      </w:pPr>
    </w:p>
    <w:p w14:paraId="2AD40417">
      <w:pPr>
        <w:keepNext w:val="0"/>
        <w:keepLines w:val="0"/>
        <w:pageBreakBefore w:val="0"/>
        <w:widowControl w:val="0"/>
        <w:kinsoku/>
        <w:overflowPunct/>
        <w:topLinePunct w:val="0"/>
        <w:bidi w:val="0"/>
        <w:spacing w:line="360" w:lineRule="auto"/>
        <w:rPr>
          <w:rFonts w:ascii="Times New Roman" w:hAnsi="Times New Roman"/>
          <w:b/>
          <w:sz w:val="24"/>
          <w:szCs w:val="24"/>
        </w:rPr>
      </w:pPr>
      <w:r>
        <w:rPr>
          <w:rFonts w:hint="eastAsia" w:ascii="Times New Roman" w:hAnsi="Times New Roman"/>
          <w:b/>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D38639A">
      <w:pPr>
        <w:pStyle w:val="50"/>
        <w:keepNext w:val="0"/>
        <w:keepLines w:val="0"/>
        <w:pageBreakBefore w:val="0"/>
        <w:widowControl w:val="0"/>
        <w:kinsoku/>
        <w:overflowPunct/>
        <w:topLinePunct w:val="0"/>
        <w:bidi w:val="0"/>
      </w:pPr>
    </w:p>
    <w:p w14:paraId="103DC134">
      <w:pPr>
        <w:keepNext w:val="0"/>
        <w:keepLines w:val="0"/>
        <w:pageBreakBefore w:val="0"/>
        <w:widowControl w:val="0"/>
        <w:kinsoku/>
        <w:overflowPunct/>
        <w:topLinePunct w:val="0"/>
        <w:bidi w:val="0"/>
        <w:spacing w:before="260" w:after="260"/>
        <w:jc w:val="center"/>
        <w:outlineLvl w:val="2"/>
        <w:rPr>
          <w:rFonts w:ascii="黑体" w:hAnsi="宋体" w:eastAsia="黑体"/>
          <w:bCs/>
          <w:sz w:val="24"/>
          <w:szCs w:val="24"/>
        </w:rPr>
      </w:pPr>
      <w:r>
        <w:rPr>
          <w:rFonts w:ascii="宋体" w:hAnsi="宋体"/>
          <w:b/>
          <w:bCs/>
          <w:sz w:val="28"/>
          <w:szCs w:val="32"/>
        </w:rPr>
        <w:tab/>
      </w:r>
      <w:r>
        <w:rPr>
          <w:rFonts w:hint="eastAsia" w:ascii="黑体" w:hAnsi="宋体" w:eastAsia="黑体"/>
          <w:bCs/>
          <w:kern w:val="0"/>
          <w:sz w:val="24"/>
          <w:szCs w:val="24"/>
        </w:rPr>
        <w:t>七、投标文件签署授权委托书</w:t>
      </w:r>
    </w:p>
    <w:p w14:paraId="15E453C8">
      <w:pPr>
        <w:keepNext w:val="0"/>
        <w:keepLines w:val="0"/>
        <w:pageBreakBefore w:val="0"/>
        <w:widowControl w:val="0"/>
        <w:kinsoku/>
        <w:overflowPunct/>
        <w:topLinePunct w:val="0"/>
        <w:bidi w:val="0"/>
        <w:spacing w:line="360" w:lineRule="auto"/>
        <w:ind w:firstLine="420" w:firstLineChars="200"/>
        <w:rPr>
          <w:rFonts w:ascii="Times New Roman" w:hAnsi="Times New Roman"/>
          <w:szCs w:val="21"/>
        </w:rPr>
      </w:pPr>
      <w:r>
        <w:rPr>
          <w:rFonts w:hint="eastAsia" w:ascii="Times New Roman" w:hAnsi="Times New Roman"/>
          <w:szCs w:val="21"/>
        </w:rPr>
        <w:t>本授权委托书声明：我</w:t>
      </w:r>
      <w:r>
        <w:rPr>
          <w:rFonts w:hint="eastAsia" w:ascii="Times New Roman" w:hAnsi="Times New Roman"/>
          <w:szCs w:val="21"/>
          <w:u w:val="single"/>
        </w:rPr>
        <w:t xml:space="preserve">           </w:t>
      </w:r>
      <w:r>
        <w:rPr>
          <w:rFonts w:hint="eastAsia" w:ascii="Times New Roman" w:hAnsi="Times New Roman"/>
          <w:szCs w:val="21"/>
        </w:rPr>
        <w:t>（姓名）系</w:t>
      </w:r>
      <w:r>
        <w:rPr>
          <w:rFonts w:hint="eastAsia" w:ascii="Times New Roman" w:hAnsi="Times New Roman"/>
          <w:szCs w:val="21"/>
          <w:u w:val="single"/>
        </w:rPr>
        <w:t xml:space="preserve">             </w:t>
      </w:r>
      <w:r>
        <w:rPr>
          <w:rFonts w:hint="eastAsia" w:ascii="Times New Roman" w:hAnsi="Times New Roman"/>
          <w:szCs w:val="21"/>
        </w:rPr>
        <w:t>（投标供应商名称）的法定代表人</w:t>
      </w:r>
      <w:r>
        <w:rPr>
          <w:rFonts w:hint="eastAsia" w:ascii="黑体" w:hAnsi="Times New Roman" w:eastAsia="黑体"/>
          <w:b/>
          <w:kern w:val="0"/>
          <w:sz w:val="24"/>
          <w:szCs w:val="24"/>
        </w:rPr>
        <w:t>（负责人）</w:t>
      </w:r>
      <w:r>
        <w:rPr>
          <w:rFonts w:hint="eastAsia" w:ascii="Times New Roman" w:hAnsi="Times New Roman"/>
          <w:szCs w:val="21"/>
        </w:rPr>
        <w:t>，现授权委托</w:t>
      </w:r>
      <w:r>
        <w:rPr>
          <w:rFonts w:hint="eastAsia" w:ascii="Times New Roman" w:hAnsi="Times New Roman"/>
          <w:szCs w:val="21"/>
          <w:u w:val="single"/>
        </w:rPr>
        <w:t xml:space="preserve">            </w:t>
      </w:r>
      <w:r>
        <w:rPr>
          <w:rFonts w:hint="eastAsia" w:ascii="Times New Roman" w:hAnsi="Times New Roman"/>
          <w:szCs w:val="21"/>
        </w:rPr>
        <w:t>（姓名）为我公司签署本项目已递交的投标文件的法定代表人的授权委托代理人，代理人全权代表我所签署的本项目已递交的投标文件内容我均承认。</w:t>
      </w:r>
    </w:p>
    <w:p w14:paraId="220051BD">
      <w:pPr>
        <w:keepNext w:val="0"/>
        <w:keepLines w:val="0"/>
        <w:pageBreakBefore w:val="0"/>
        <w:widowControl w:val="0"/>
        <w:kinsoku/>
        <w:overflowPunct/>
        <w:topLinePunct w:val="0"/>
        <w:bidi w:val="0"/>
        <w:spacing w:line="360" w:lineRule="auto"/>
        <w:ind w:firstLine="420"/>
        <w:rPr>
          <w:rFonts w:ascii="Times New Roman" w:hAnsi="Times New Roman"/>
          <w:szCs w:val="21"/>
        </w:rPr>
      </w:pPr>
      <w:r>
        <w:rPr>
          <w:rFonts w:hint="eastAsia" w:ascii="Times New Roman" w:hAnsi="Times New Roman"/>
          <w:szCs w:val="21"/>
        </w:rPr>
        <w:t>代理人无转委托权，特此委托。</w:t>
      </w:r>
    </w:p>
    <w:p w14:paraId="35410782">
      <w:pPr>
        <w:keepNext w:val="0"/>
        <w:keepLines w:val="0"/>
        <w:pageBreakBefore w:val="0"/>
        <w:widowControl w:val="0"/>
        <w:kinsoku/>
        <w:overflowPunct/>
        <w:topLinePunct w:val="0"/>
        <w:bidi w:val="0"/>
        <w:spacing w:line="360" w:lineRule="auto"/>
        <w:ind w:firstLine="420"/>
        <w:rPr>
          <w:rFonts w:ascii="Times New Roman" w:hAnsi="Times New Roman"/>
          <w:szCs w:val="21"/>
        </w:rPr>
      </w:pPr>
    </w:p>
    <w:p w14:paraId="1DB5149C">
      <w:pPr>
        <w:keepNext w:val="0"/>
        <w:keepLines w:val="0"/>
        <w:pageBreakBefore w:val="0"/>
        <w:widowControl w:val="0"/>
        <w:kinsoku/>
        <w:overflowPunct/>
        <w:topLinePunct w:val="0"/>
        <w:bidi w:val="0"/>
        <w:spacing w:line="360" w:lineRule="auto"/>
        <w:ind w:left="540" w:leftChars="257"/>
        <w:rPr>
          <w:rFonts w:ascii="Times New Roman" w:hAnsi="Times New Roman"/>
          <w:szCs w:val="21"/>
          <w:u w:val="single"/>
        </w:rPr>
      </w:pPr>
      <w:r>
        <w:rPr>
          <w:rFonts w:hint="eastAsia" w:ascii="Times New Roman" w:hAnsi="Times New Roman"/>
          <w:szCs w:val="21"/>
        </w:rPr>
        <w:t>代理人：</w:t>
      </w:r>
      <w:r>
        <w:rPr>
          <w:rFonts w:hint="eastAsia" w:ascii="Times New Roman" w:hAnsi="Times New Roman"/>
          <w:szCs w:val="21"/>
          <w:u w:val="single"/>
        </w:rPr>
        <w:t xml:space="preserve">             </w:t>
      </w:r>
    </w:p>
    <w:p w14:paraId="40CCE138">
      <w:pPr>
        <w:keepNext w:val="0"/>
        <w:keepLines w:val="0"/>
        <w:pageBreakBefore w:val="0"/>
        <w:widowControl w:val="0"/>
        <w:kinsoku/>
        <w:overflowPunct/>
        <w:topLinePunct w:val="0"/>
        <w:bidi w:val="0"/>
        <w:spacing w:line="360" w:lineRule="auto"/>
        <w:ind w:left="540" w:leftChars="257"/>
        <w:rPr>
          <w:rFonts w:ascii="Times New Roman" w:hAnsi="Times New Roman"/>
          <w:szCs w:val="21"/>
        </w:rPr>
      </w:pPr>
      <w:r>
        <w:rPr>
          <w:rFonts w:hint="eastAsia" w:ascii="Times New Roman" w:hAnsi="Times New Roman"/>
          <w:szCs w:val="21"/>
        </w:rPr>
        <w:t>联系电话：</w:t>
      </w:r>
      <w:r>
        <w:rPr>
          <w:rFonts w:hint="eastAsia" w:ascii="Times New Roman" w:hAnsi="Times New Roman"/>
          <w:szCs w:val="21"/>
          <w:u w:val="single"/>
        </w:rPr>
        <w:t xml:space="preserve">            </w:t>
      </w:r>
      <w:r>
        <w:rPr>
          <w:rFonts w:hint="eastAsia" w:ascii="Times New Roman" w:hAnsi="Times New Roman"/>
          <w:szCs w:val="21"/>
        </w:rPr>
        <w:t xml:space="preserve">  手机：</w:t>
      </w:r>
      <w:r>
        <w:rPr>
          <w:rFonts w:hint="eastAsia" w:ascii="Times New Roman" w:hAnsi="Times New Roman"/>
          <w:szCs w:val="21"/>
          <w:u w:val="single"/>
        </w:rPr>
        <w:t xml:space="preserve">                   </w:t>
      </w:r>
    </w:p>
    <w:p w14:paraId="4AB02AE2">
      <w:pPr>
        <w:keepNext w:val="0"/>
        <w:keepLines w:val="0"/>
        <w:pageBreakBefore w:val="0"/>
        <w:widowControl w:val="0"/>
        <w:kinsoku/>
        <w:overflowPunct/>
        <w:topLinePunct w:val="0"/>
        <w:bidi w:val="0"/>
        <w:spacing w:line="360" w:lineRule="auto"/>
        <w:ind w:left="540" w:leftChars="257"/>
        <w:rPr>
          <w:rFonts w:ascii="Times New Roman" w:hAnsi="Times New Roman"/>
          <w:szCs w:val="21"/>
          <w:u w:val="single"/>
        </w:rPr>
      </w:pPr>
      <w:r>
        <w:rPr>
          <w:rFonts w:hint="eastAsia" w:ascii="Times New Roman" w:hAnsi="Times New Roman"/>
          <w:szCs w:val="21"/>
        </w:rPr>
        <w:t>身份证号码：</w:t>
      </w:r>
      <w:r>
        <w:rPr>
          <w:rFonts w:hint="eastAsia" w:ascii="Times New Roman" w:hAnsi="Times New Roman"/>
          <w:szCs w:val="21"/>
          <w:u w:val="single"/>
        </w:rPr>
        <w:t xml:space="preserve">                        </w:t>
      </w:r>
      <w:r>
        <w:rPr>
          <w:rFonts w:hint="eastAsia" w:ascii="Times New Roman" w:hAnsi="Times New Roman"/>
          <w:szCs w:val="21"/>
        </w:rPr>
        <w:t>职务：</w:t>
      </w:r>
      <w:r>
        <w:rPr>
          <w:rFonts w:hint="eastAsia" w:ascii="Times New Roman" w:hAnsi="Times New Roman"/>
          <w:szCs w:val="21"/>
          <w:u w:val="single"/>
        </w:rPr>
        <w:t xml:space="preserve">       </w:t>
      </w:r>
    </w:p>
    <w:p w14:paraId="7383DCBC">
      <w:pPr>
        <w:keepNext w:val="0"/>
        <w:keepLines w:val="0"/>
        <w:pageBreakBefore w:val="0"/>
        <w:widowControl w:val="0"/>
        <w:kinsoku/>
        <w:overflowPunct/>
        <w:topLinePunct w:val="0"/>
        <w:bidi w:val="0"/>
        <w:spacing w:line="360" w:lineRule="auto"/>
        <w:ind w:left="540" w:leftChars="257"/>
        <w:rPr>
          <w:rFonts w:ascii="Times New Roman" w:hAnsi="Times New Roman"/>
          <w:szCs w:val="21"/>
        </w:rPr>
      </w:pPr>
      <w:r>
        <w:rPr>
          <w:rFonts w:hint="eastAsia" w:ascii="Times New Roman" w:hAnsi="Times New Roman"/>
          <w:szCs w:val="21"/>
        </w:rPr>
        <w:t>授权委托日期：</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 xml:space="preserve">月 </w:t>
      </w:r>
      <w:r>
        <w:rPr>
          <w:rFonts w:hint="eastAsia" w:ascii="Times New Roman" w:hAnsi="Times New Roman"/>
          <w:szCs w:val="21"/>
          <w:u w:val="single"/>
        </w:rPr>
        <w:t xml:space="preserve">      </w:t>
      </w:r>
      <w:r>
        <w:rPr>
          <w:rFonts w:hint="eastAsia" w:ascii="Times New Roman" w:hAnsi="Times New Roman"/>
          <w:szCs w:val="21"/>
        </w:rPr>
        <w:t>日</w:t>
      </w:r>
    </w:p>
    <w:p w14:paraId="0747C60A">
      <w:pPr>
        <w:keepNext w:val="0"/>
        <w:keepLines w:val="0"/>
        <w:pageBreakBefore w:val="0"/>
        <w:widowControl w:val="0"/>
        <w:kinsoku/>
        <w:overflowPunct/>
        <w:topLinePunct w:val="0"/>
        <w:bidi w:val="0"/>
        <w:spacing w:line="360" w:lineRule="auto"/>
        <w:ind w:left="540" w:leftChars="257"/>
        <w:rPr>
          <w:rFonts w:ascii="Times New Roman" w:hAnsi="Times New Roman"/>
          <w:szCs w:val="21"/>
          <w:u w:val="single"/>
        </w:rPr>
      </w:pPr>
    </w:p>
    <w:p w14:paraId="2BE4003C">
      <w:pPr>
        <w:keepNext w:val="0"/>
        <w:keepLines w:val="0"/>
        <w:pageBreakBefore w:val="0"/>
        <w:widowControl w:val="0"/>
        <w:kinsoku/>
        <w:overflowPunct/>
        <w:topLinePunct w:val="0"/>
        <w:bidi w:val="0"/>
        <w:spacing w:line="360" w:lineRule="auto"/>
        <w:rPr>
          <w:rFonts w:ascii="Times New Roman" w:hAnsi="Times New Roman"/>
          <w:b/>
          <w:sz w:val="24"/>
          <w:szCs w:val="24"/>
        </w:rPr>
      </w:pPr>
      <w:r>
        <w:rPr>
          <w:rFonts w:hint="eastAsia" w:ascii="Times New Roman" w:hAnsi="Times New Roman"/>
          <w:b/>
          <w:sz w:val="24"/>
          <w:szCs w:val="24"/>
        </w:rPr>
        <w:t>附：要求必须提供代理人身份证扫描件（正反两面）且在有效期限内。</w:t>
      </w:r>
    </w:p>
    <w:p w14:paraId="3C5DEFB9">
      <w:pPr>
        <w:keepNext w:val="0"/>
        <w:keepLines w:val="0"/>
        <w:pageBreakBefore w:val="0"/>
        <w:widowControl w:val="0"/>
        <w:kinsoku/>
        <w:overflowPunct/>
        <w:topLinePunct w:val="0"/>
        <w:bidi w:val="0"/>
        <w:rPr>
          <w:szCs w:val="21"/>
          <w:u w:val="single"/>
        </w:rPr>
      </w:pPr>
    </w:p>
    <w:p w14:paraId="5115AADF">
      <w:pPr>
        <w:keepNext w:val="0"/>
        <w:keepLines w:val="0"/>
        <w:pageBreakBefore w:val="0"/>
        <w:widowControl w:val="0"/>
        <w:kinsoku/>
        <w:overflowPunct/>
        <w:topLinePunct w:val="0"/>
        <w:bidi w:val="0"/>
        <w:rPr>
          <w:rFonts w:ascii="宋体" w:hAnsi="宋体"/>
          <w:szCs w:val="21"/>
        </w:rPr>
      </w:pPr>
      <w:r>
        <w:rPr>
          <w:rFonts w:hint="eastAsia"/>
          <w:szCs w:val="21"/>
          <w:u w:val="single"/>
        </w:rPr>
        <w:t>（备注：如联合体投标，投标供应商名称一栏仅需填写牵头人的名称）</w:t>
      </w:r>
    </w:p>
    <w:p w14:paraId="547D9071">
      <w:pPr>
        <w:keepNext w:val="0"/>
        <w:keepLines w:val="0"/>
        <w:pageBreakBefore w:val="0"/>
        <w:widowControl w:val="0"/>
        <w:kinsoku/>
        <w:overflowPunct/>
        <w:topLinePunct w:val="0"/>
        <w:bidi w:val="0"/>
        <w:spacing w:line="360" w:lineRule="auto"/>
        <w:rPr>
          <w:rFonts w:ascii="黑体" w:eastAsia="黑体"/>
          <w:b/>
          <w:sz w:val="24"/>
        </w:rPr>
      </w:pPr>
    </w:p>
    <w:p w14:paraId="6FB393DA">
      <w:pPr>
        <w:keepNext w:val="0"/>
        <w:keepLines w:val="0"/>
        <w:pageBreakBefore w:val="0"/>
        <w:widowControl w:val="0"/>
        <w:kinsoku/>
        <w:overflowPunct/>
        <w:topLinePunct w:val="0"/>
        <w:bidi w:val="0"/>
        <w:spacing w:line="360" w:lineRule="auto"/>
        <w:rPr>
          <w:rFonts w:ascii="Times New Roman" w:hAnsi="Times New Roman"/>
          <w:b/>
          <w:sz w:val="24"/>
          <w:szCs w:val="24"/>
        </w:rPr>
      </w:pPr>
      <w:r>
        <w:rPr>
          <w:rFonts w:hint="eastAsia" w:ascii="Times New Roman" w:hAnsi="Times New Roman"/>
          <w:b/>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342F737">
      <w:pPr>
        <w:pStyle w:val="50"/>
        <w:keepNext w:val="0"/>
        <w:keepLines w:val="0"/>
        <w:pageBreakBefore w:val="0"/>
        <w:widowControl w:val="0"/>
        <w:kinsoku/>
        <w:overflowPunct/>
        <w:topLinePunct w:val="0"/>
        <w:bidi w:val="0"/>
      </w:pPr>
    </w:p>
    <w:p w14:paraId="020CEBAC">
      <w:pPr>
        <w:keepNext w:val="0"/>
        <w:keepLines w:val="0"/>
        <w:pageBreakBefore w:val="0"/>
        <w:widowControl w:val="0"/>
        <w:kinsoku/>
        <w:overflowPunct/>
        <w:topLinePunct w:val="0"/>
        <w:bidi w:val="0"/>
        <w:spacing w:before="260" w:after="260"/>
        <w:jc w:val="center"/>
        <w:outlineLvl w:val="2"/>
        <w:rPr>
          <w:rFonts w:ascii="黑体" w:hAnsi="宋体" w:eastAsia="黑体"/>
          <w:bCs/>
          <w:kern w:val="0"/>
          <w:sz w:val="24"/>
          <w:szCs w:val="24"/>
        </w:rPr>
      </w:pPr>
      <w:r>
        <w:rPr>
          <w:rFonts w:hint="eastAsia" w:ascii="黑体" w:hAnsi="宋体" w:eastAsia="黑体"/>
          <w:bCs/>
          <w:kern w:val="0"/>
          <w:sz w:val="24"/>
          <w:szCs w:val="24"/>
        </w:rPr>
        <w:t>八、实质性条款响应情况表</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790"/>
        <w:gridCol w:w="3685"/>
      </w:tblGrid>
      <w:tr w14:paraId="3DC5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197DBB5">
            <w:pPr>
              <w:keepNext w:val="0"/>
              <w:keepLines w:val="0"/>
              <w:pageBreakBefore w:val="0"/>
              <w:widowControl w:val="0"/>
              <w:kinsoku/>
              <w:overflowPunct/>
              <w:topLinePunct w:val="0"/>
              <w:bidi w:val="0"/>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790" w:type="dxa"/>
          </w:tcPr>
          <w:p w14:paraId="5966852C">
            <w:pPr>
              <w:keepNext w:val="0"/>
              <w:keepLines w:val="0"/>
              <w:pageBreakBefore w:val="0"/>
              <w:widowControl w:val="0"/>
              <w:kinsoku/>
              <w:overflowPunct/>
              <w:topLinePunct w:val="0"/>
              <w:bidi w:val="0"/>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685" w:type="dxa"/>
          </w:tcPr>
          <w:p w14:paraId="57782536">
            <w:pPr>
              <w:keepNext w:val="0"/>
              <w:keepLines w:val="0"/>
              <w:pageBreakBefore w:val="0"/>
              <w:widowControl w:val="0"/>
              <w:kinsoku/>
              <w:overflowPunct/>
              <w:topLinePunct w:val="0"/>
              <w:bidi w:val="0"/>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2E41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F7E7B85">
            <w:pPr>
              <w:keepNext w:val="0"/>
              <w:keepLines w:val="0"/>
              <w:pageBreakBefore w:val="0"/>
              <w:widowControl w:val="0"/>
              <w:kinsoku/>
              <w:overflowPunct/>
              <w:topLinePunct w:val="0"/>
              <w:bidi w:val="0"/>
              <w:adjustRightInd w:val="0"/>
              <w:snapToGrid w:val="0"/>
              <w:spacing w:line="360" w:lineRule="auto"/>
              <w:rPr>
                <w:rFonts w:ascii="宋体" w:hAnsi="宋体"/>
                <w:kern w:val="0"/>
                <w:szCs w:val="21"/>
              </w:rPr>
            </w:pPr>
            <w:r>
              <w:rPr>
                <w:rFonts w:hint="eastAsia" w:ascii="宋体" w:hAnsi="宋体"/>
                <w:kern w:val="0"/>
                <w:szCs w:val="21"/>
              </w:rPr>
              <w:t>1</w:t>
            </w:r>
          </w:p>
        </w:tc>
        <w:tc>
          <w:tcPr>
            <w:tcW w:w="4790" w:type="dxa"/>
          </w:tcPr>
          <w:p w14:paraId="00A9FA60">
            <w:pPr>
              <w:keepNext w:val="0"/>
              <w:keepLines w:val="0"/>
              <w:pageBreakBefore w:val="0"/>
              <w:widowControl w:val="0"/>
              <w:tabs>
                <w:tab w:val="left" w:pos="765"/>
              </w:tabs>
              <w:kinsoku/>
              <w:overflowPunct/>
              <w:topLinePunct w:val="0"/>
              <w:bidi w:val="0"/>
              <w:spacing w:line="376" w:lineRule="auto"/>
              <w:outlineLvl w:val="3"/>
              <w:rPr>
                <w:rFonts w:ascii="Times New Roman" w:hAnsi="宋体"/>
                <w:kern w:val="0"/>
                <w:szCs w:val="21"/>
              </w:rPr>
            </w:pPr>
            <w:r>
              <w:rPr>
                <w:rFonts w:hint="eastAsia" w:ascii="宋体" w:hAnsi="宋体" w:cs="宋体"/>
                <w:kern w:val="0"/>
                <w:szCs w:val="21"/>
              </w:rPr>
              <w:t>满足本项目所有标★的条款要求</w:t>
            </w:r>
            <w:r>
              <w:rPr>
                <w:rFonts w:hint="eastAsia" w:ascii="宋体" w:hAnsi="宋体" w:cs="宋体"/>
                <w:b/>
                <w:bCs/>
                <w:kern w:val="0"/>
                <w:szCs w:val="21"/>
              </w:rPr>
              <w:t>（涉及提供佐证材料的，应按要求提供相应证明材料，任一项未响应或不满足要求的，将导致投标无效。）</w:t>
            </w:r>
          </w:p>
        </w:tc>
        <w:tc>
          <w:tcPr>
            <w:tcW w:w="3685" w:type="dxa"/>
          </w:tcPr>
          <w:p w14:paraId="67C6C895">
            <w:pPr>
              <w:keepNext w:val="0"/>
              <w:keepLines w:val="0"/>
              <w:pageBreakBefore w:val="0"/>
              <w:widowControl w:val="0"/>
              <w:kinsoku/>
              <w:overflowPunct/>
              <w:topLinePunct w:val="0"/>
              <w:bidi w:val="0"/>
              <w:adjustRightInd w:val="0"/>
              <w:snapToGrid w:val="0"/>
              <w:spacing w:line="360" w:lineRule="auto"/>
              <w:rPr>
                <w:rFonts w:ascii="宋体" w:hAnsi="宋体"/>
                <w:kern w:val="0"/>
                <w:szCs w:val="21"/>
              </w:rPr>
            </w:pPr>
          </w:p>
        </w:tc>
      </w:tr>
    </w:tbl>
    <w:p w14:paraId="3F6019EF">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注：1.“</w:t>
      </w:r>
      <w:r>
        <w:rPr>
          <w:rFonts w:hint="eastAsia" w:ascii="宋体" w:hAnsi="宋体"/>
          <w:kern w:val="0"/>
          <w:szCs w:val="21"/>
        </w:rPr>
        <w:t>采购人要求内容</w:t>
      </w:r>
      <w:r>
        <w:rPr>
          <w:rFonts w:hint="eastAsia" w:asciiTheme="minorEastAsia" w:hAnsiTheme="minorEastAsia" w:eastAsiaTheme="minorEastAsia"/>
          <w:bCs/>
          <w:kern w:val="0"/>
          <w:szCs w:val="21"/>
        </w:rPr>
        <w:t>”为</w:t>
      </w:r>
      <w:r>
        <w:rPr>
          <w:rFonts w:hint="eastAsia" w:asciiTheme="minorEastAsia" w:hAnsiTheme="minorEastAsia" w:eastAsiaTheme="minorEastAsia"/>
          <w:b/>
          <w:bCs/>
          <w:kern w:val="0"/>
          <w:szCs w:val="21"/>
          <w:highlight w:val="yellow"/>
        </w:rPr>
        <w:t>“第一册  专用条款/第二章  招标项目需求”</w:t>
      </w:r>
      <w:r>
        <w:rPr>
          <w:rFonts w:hint="eastAsia" w:asciiTheme="minorEastAsia" w:hAnsiTheme="minorEastAsia" w:eastAsiaTheme="minorEastAsia"/>
          <w:bCs/>
          <w:kern w:val="0"/>
          <w:szCs w:val="21"/>
        </w:rPr>
        <w:t>中的不可负偏离的实质性条款，即“实质性条款”。</w:t>
      </w:r>
    </w:p>
    <w:p w14:paraId="5EFF77D1">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2.“投标人响应情况”一栏应如实填写“响应”或“不响应”。</w:t>
      </w:r>
    </w:p>
    <w:p w14:paraId="3E4A0951">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3.“实质性条款响应情况表”与投标文件其它内容冲突的，以“实质性条款响应情况表”为准。</w:t>
      </w:r>
    </w:p>
    <w:p w14:paraId="754F9F61">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highlight w:val="yellow"/>
        </w:rPr>
      </w:pPr>
      <w:r>
        <w:rPr>
          <w:rFonts w:hint="eastAsia" w:asciiTheme="minorEastAsia" w:hAnsiTheme="minorEastAsia" w:eastAsiaTheme="minorEastAsia"/>
          <w:bCs/>
          <w:kern w:val="0"/>
          <w:szCs w:val="21"/>
          <w:highlight w:val="yellow"/>
        </w:rPr>
        <w:t>4.标★的条款要求提供证明材料的，应将证明材料附在本表后，未提供证明材料或证明材料与响应情况不相符的，按负偏离处理。</w:t>
      </w:r>
    </w:p>
    <w:p w14:paraId="4EC6FA9E">
      <w:pPr>
        <w:keepNext w:val="0"/>
        <w:keepLines w:val="0"/>
        <w:pageBreakBefore w:val="0"/>
        <w:widowControl w:val="0"/>
        <w:kinsoku/>
        <w:overflowPunct/>
        <w:topLinePunct w:val="0"/>
        <w:bidi w:val="0"/>
        <w:spacing w:before="260" w:after="260"/>
        <w:jc w:val="center"/>
        <w:outlineLvl w:val="2"/>
        <w:rPr>
          <w:rFonts w:ascii="黑体" w:hAnsi="宋体" w:eastAsia="黑体"/>
          <w:bCs/>
          <w:kern w:val="0"/>
          <w:sz w:val="24"/>
          <w:szCs w:val="24"/>
        </w:rPr>
      </w:pPr>
      <w:r>
        <w:rPr>
          <w:rFonts w:hint="eastAsia" w:ascii="黑体" w:hAnsi="宋体" w:eastAsia="黑体"/>
          <w:bCs/>
          <w:kern w:val="0"/>
          <w:sz w:val="24"/>
          <w:szCs w:val="24"/>
        </w:rPr>
        <w:t>九、详细分项报价清单</w:t>
      </w:r>
    </w:p>
    <w:p w14:paraId="145CE253">
      <w:pPr>
        <w:keepNext w:val="0"/>
        <w:keepLines w:val="0"/>
        <w:pageBreakBefore w:val="0"/>
        <w:widowControl w:val="0"/>
        <w:kinsoku/>
        <w:overflowPunct/>
        <w:topLinePunct w:val="0"/>
        <w:bidi w:val="0"/>
        <w:spacing w:line="360" w:lineRule="auto"/>
        <w:ind w:firstLine="422" w:firstLineChars="200"/>
        <w:outlineLvl w:val="1"/>
        <w:rPr>
          <w:rFonts w:ascii="宋体" w:hAnsi="宋体" w:cs="宋体"/>
          <w:b/>
          <w:bCs/>
          <w:szCs w:val="21"/>
        </w:rPr>
      </w:pPr>
      <w:r>
        <w:rPr>
          <w:rFonts w:hint="eastAsia" w:ascii="宋体" w:hAnsi="宋体" w:cs="宋体"/>
          <w:b/>
          <w:bCs/>
          <w:szCs w:val="21"/>
        </w:rPr>
        <w:t>投标报价分项明细表</w:t>
      </w:r>
    </w:p>
    <w:tbl>
      <w:tblPr>
        <w:tblStyle w:val="42"/>
        <w:tblW w:w="9575" w:type="dxa"/>
        <w:jc w:val="center"/>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Layout w:type="fixed"/>
        <w:tblCellMar>
          <w:top w:w="0" w:type="dxa"/>
          <w:left w:w="108" w:type="dxa"/>
          <w:bottom w:w="0" w:type="dxa"/>
          <w:right w:w="108" w:type="dxa"/>
        </w:tblCellMar>
      </w:tblPr>
      <w:tblGrid>
        <w:gridCol w:w="833"/>
        <w:gridCol w:w="1634"/>
        <w:gridCol w:w="2200"/>
        <w:gridCol w:w="800"/>
        <w:gridCol w:w="2466"/>
        <w:gridCol w:w="1642"/>
      </w:tblGrid>
      <w:tr w14:paraId="735CAE6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80" w:hRule="atLeast"/>
          <w:jc w:val="center"/>
        </w:trPr>
        <w:tc>
          <w:tcPr>
            <w:tcW w:w="833" w:type="dxa"/>
            <w:vMerge w:val="restart"/>
            <w:tcBorders>
              <w:tl2br w:val="nil"/>
              <w:tr2bl w:val="nil"/>
            </w:tcBorders>
            <w:vAlign w:val="center"/>
          </w:tcPr>
          <w:p w14:paraId="0D08EE0D">
            <w:pPr>
              <w:keepNext w:val="0"/>
              <w:keepLines w:val="0"/>
              <w:pageBreakBefore w:val="0"/>
              <w:widowControl w:val="0"/>
              <w:kinsoku/>
              <w:overflowPunct/>
              <w:topLinePunct w:val="0"/>
              <w:bidi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634" w:type="dxa"/>
            <w:vMerge w:val="restart"/>
            <w:tcBorders>
              <w:tl2br w:val="nil"/>
              <w:tr2bl w:val="nil"/>
            </w:tcBorders>
            <w:vAlign w:val="center"/>
          </w:tcPr>
          <w:p w14:paraId="53C05674">
            <w:pPr>
              <w:keepNext w:val="0"/>
              <w:keepLines w:val="0"/>
              <w:pageBreakBefore w:val="0"/>
              <w:widowControl w:val="0"/>
              <w:kinsoku/>
              <w:overflowPunct/>
              <w:topLinePunct w:val="0"/>
              <w:bidi w:val="0"/>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科室/位置</w:t>
            </w:r>
          </w:p>
          <w:p w14:paraId="0861344C">
            <w:pPr>
              <w:keepNext w:val="0"/>
              <w:keepLines w:val="0"/>
              <w:pageBreakBefore w:val="0"/>
              <w:widowControl w:val="0"/>
              <w:kinsoku/>
              <w:overflowPunct/>
              <w:topLinePunct w:val="0"/>
              <w:bidi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2200" w:type="dxa"/>
            <w:vMerge w:val="restart"/>
            <w:tcBorders>
              <w:tl2br w:val="nil"/>
              <w:tr2bl w:val="nil"/>
            </w:tcBorders>
            <w:vAlign w:val="center"/>
          </w:tcPr>
          <w:p w14:paraId="52646890">
            <w:pPr>
              <w:keepNext w:val="0"/>
              <w:keepLines w:val="0"/>
              <w:pageBreakBefore w:val="0"/>
              <w:widowControl w:val="0"/>
              <w:kinsoku/>
              <w:overflowPunct/>
              <w:topLinePunct w:val="0"/>
              <w:bidi w:val="0"/>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状态</w:t>
            </w:r>
          </w:p>
          <w:p w14:paraId="10625EC2">
            <w:pPr>
              <w:keepNext w:val="0"/>
              <w:keepLines w:val="0"/>
              <w:pageBreakBefore w:val="0"/>
              <w:widowControl w:val="0"/>
              <w:kinsoku/>
              <w:overflowPunct/>
              <w:topLinePunct w:val="0"/>
              <w:bidi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（空调机组数量）</w:t>
            </w:r>
          </w:p>
        </w:tc>
        <w:tc>
          <w:tcPr>
            <w:tcW w:w="3266" w:type="dxa"/>
            <w:gridSpan w:val="2"/>
            <w:tcBorders>
              <w:tl2br w:val="nil"/>
              <w:tr2bl w:val="nil"/>
            </w:tcBorders>
            <w:vAlign w:val="center"/>
          </w:tcPr>
          <w:p w14:paraId="70EBB2AC">
            <w:pPr>
              <w:keepNext w:val="0"/>
              <w:keepLines w:val="0"/>
              <w:pageBreakBefore w:val="0"/>
              <w:widowControl w:val="0"/>
              <w:kinsoku/>
              <w:overflowPunct/>
              <w:topLinePunct w:val="0"/>
              <w:bidi w:val="0"/>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净化房间数量</w:t>
            </w:r>
          </w:p>
        </w:tc>
        <w:tc>
          <w:tcPr>
            <w:tcW w:w="1642" w:type="dxa"/>
            <w:tcBorders>
              <w:tl2br w:val="nil"/>
              <w:tr2bl w:val="nil"/>
            </w:tcBorders>
            <w:vAlign w:val="center"/>
          </w:tcPr>
          <w:p w14:paraId="0A303671">
            <w:pPr>
              <w:keepNext w:val="0"/>
              <w:keepLines w:val="0"/>
              <w:pageBreakBefore w:val="0"/>
              <w:widowControl w:val="0"/>
              <w:kinsoku/>
              <w:overflowPunct/>
              <w:topLinePunct w:val="0"/>
              <w:bidi w:val="0"/>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kern w:val="0"/>
                <w:szCs w:val="21"/>
                <w:lang w:val="en-US" w:eastAsia="zh-CN" w:bidi="ar"/>
              </w:rPr>
              <w:t>投标报价</w:t>
            </w:r>
          </w:p>
        </w:tc>
      </w:tr>
      <w:tr w14:paraId="1A1E8D8C">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481" w:hRule="atLeast"/>
          <w:jc w:val="center"/>
        </w:trPr>
        <w:tc>
          <w:tcPr>
            <w:tcW w:w="833" w:type="dxa"/>
            <w:vMerge w:val="continue"/>
            <w:tcBorders>
              <w:tl2br w:val="nil"/>
              <w:tr2bl w:val="nil"/>
            </w:tcBorders>
            <w:vAlign w:val="center"/>
          </w:tcPr>
          <w:p w14:paraId="6682F5E9">
            <w:pPr>
              <w:keepNext w:val="0"/>
              <w:keepLines w:val="0"/>
              <w:pageBreakBefore w:val="0"/>
              <w:widowControl w:val="0"/>
              <w:kinsoku/>
              <w:overflowPunct/>
              <w:topLinePunct w:val="0"/>
              <w:bidi w:val="0"/>
              <w:jc w:val="center"/>
              <w:rPr>
                <w:rFonts w:ascii="宋体" w:hAnsi="宋体" w:cs="宋体"/>
                <w:b/>
                <w:bCs/>
                <w:color w:val="000000"/>
                <w:szCs w:val="21"/>
              </w:rPr>
            </w:pPr>
          </w:p>
        </w:tc>
        <w:tc>
          <w:tcPr>
            <w:tcW w:w="1634" w:type="dxa"/>
            <w:vMerge w:val="continue"/>
            <w:tcBorders>
              <w:tl2br w:val="nil"/>
              <w:tr2bl w:val="nil"/>
            </w:tcBorders>
            <w:vAlign w:val="center"/>
          </w:tcPr>
          <w:p w14:paraId="2B4543B2">
            <w:pPr>
              <w:keepNext w:val="0"/>
              <w:keepLines w:val="0"/>
              <w:pageBreakBefore w:val="0"/>
              <w:widowControl w:val="0"/>
              <w:kinsoku/>
              <w:overflowPunct/>
              <w:topLinePunct w:val="0"/>
              <w:bidi w:val="0"/>
              <w:jc w:val="center"/>
              <w:rPr>
                <w:rFonts w:ascii="宋体" w:hAnsi="宋体" w:cs="宋体"/>
                <w:b/>
                <w:bCs/>
                <w:color w:val="000000"/>
                <w:szCs w:val="21"/>
              </w:rPr>
            </w:pPr>
          </w:p>
        </w:tc>
        <w:tc>
          <w:tcPr>
            <w:tcW w:w="2200" w:type="dxa"/>
            <w:vMerge w:val="continue"/>
            <w:tcBorders>
              <w:tl2br w:val="nil"/>
              <w:tr2bl w:val="nil"/>
            </w:tcBorders>
            <w:vAlign w:val="center"/>
          </w:tcPr>
          <w:p w14:paraId="355148E7">
            <w:pPr>
              <w:keepNext w:val="0"/>
              <w:keepLines w:val="0"/>
              <w:pageBreakBefore w:val="0"/>
              <w:widowControl w:val="0"/>
              <w:kinsoku/>
              <w:overflowPunct/>
              <w:topLinePunct w:val="0"/>
              <w:bidi w:val="0"/>
              <w:jc w:val="center"/>
              <w:rPr>
                <w:rFonts w:ascii="宋体" w:hAnsi="宋体" w:cs="宋体"/>
                <w:b/>
                <w:bCs/>
                <w:color w:val="000000"/>
                <w:szCs w:val="21"/>
              </w:rPr>
            </w:pPr>
          </w:p>
        </w:tc>
        <w:tc>
          <w:tcPr>
            <w:tcW w:w="800" w:type="dxa"/>
            <w:tcBorders>
              <w:tl2br w:val="nil"/>
              <w:tr2bl w:val="nil"/>
            </w:tcBorders>
            <w:vAlign w:val="center"/>
          </w:tcPr>
          <w:p w14:paraId="48CCF09B">
            <w:pPr>
              <w:keepNext w:val="0"/>
              <w:keepLines w:val="0"/>
              <w:pageBreakBefore w:val="0"/>
              <w:widowControl w:val="0"/>
              <w:kinsoku/>
              <w:overflowPunct/>
              <w:topLinePunct w:val="0"/>
              <w:bidi w:val="0"/>
              <w:jc w:val="center"/>
              <w:rPr>
                <w:rFonts w:ascii="宋体" w:hAnsi="宋体" w:cs="宋体"/>
                <w:b/>
                <w:bCs/>
                <w:color w:val="000000"/>
                <w:szCs w:val="21"/>
              </w:rPr>
            </w:pPr>
            <w:r>
              <w:rPr>
                <w:rFonts w:hint="eastAsia" w:ascii="宋体" w:hAnsi="宋体" w:cs="宋体"/>
                <w:b/>
                <w:bCs/>
                <w:color w:val="000000"/>
                <w:szCs w:val="21"/>
              </w:rPr>
              <w:t>间数</w:t>
            </w:r>
          </w:p>
        </w:tc>
        <w:tc>
          <w:tcPr>
            <w:tcW w:w="2466" w:type="dxa"/>
            <w:tcBorders>
              <w:tl2br w:val="nil"/>
              <w:tr2bl w:val="nil"/>
            </w:tcBorders>
            <w:vAlign w:val="center"/>
          </w:tcPr>
          <w:p w14:paraId="7AF43A5F">
            <w:pPr>
              <w:keepNext w:val="0"/>
              <w:keepLines w:val="0"/>
              <w:pageBreakBefore w:val="0"/>
              <w:widowControl w:val="0"/>
              <w:kinsoku/>
              <w:overflowPunct/>
              <w:topLinePunct w:val="0"/>
              <w:bidi w:val="0"/>
              <w:jc w:val="center"/>
              <w:rPr>
                <w:rFonts w:ascii="宋体" w:hAnsi="宋体" w:cs="宋体"/>
                <w:b/>
                <w:bCs/>
                <w:color w:val="000000"/>
                <w:szCs w:val="21"/>
              </w:rPr>
            </w:pPr>
            <w:r>
              <w:rPr>
                <w:rFonts w:hint="eastAsia" w:ascii="宋体" w:hAnsi="宋体" w:cs="宋体"/>
                <w:b/>
                <w:bCs/>
                <w:color w:val="000000"/>
                <w:szCs w:val="21"/>
              </w:rPr>
              <w:t>区域</w:t>
            </w:r>
          </w:p>
        </w:tc>
        <w:tc>
          <w:tcPr>
            <w:tcW w:w="1642" w:type="dxa"/>
            <w:tcBorders>
              <w:tl2br w:val="nil"/>
              <w:tr2bl w:val="nil"/>
            </w:tcBorders>
            <w:vAlign w:val="center"/>
          </w:tcPr>
          <w:p w14:paraId="31E19FFF">
            <w:pPr>
              <w:keepNext w:val="0"/>
              <w:keepLines w:val="0"/>
              <w:pageBreakBefore w:val="0"/>
              <w:widowControl w:val="0"/>
              <w:kinsoku/>
              <w:overflowPunct/>
              <w:topLinePunct w:val="0"/>
              <w:bidi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（单位：人民币元年）</w:t>
            </w:r>
          </w:p>
        </w:tc>
      </w:tr>
      <w:tr w14:paraId="2B672A4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2" w:hRule="atLeast"/>
          <w:jc w:val="center"/>
        </w:trPr>
        <w:tc>
          <w:tcPr>
            <w:tcW w:w="9575" w:type="dxa"/>
            <w:gridSpan w:val="6"/>
            <w:tcBorders>
              <w:tl2br w:val="nil"/>
              <w:tr2bl w:val="nil"/>
            </w:tcBorders>
            <w:vAlign w:val="center"/>
          </w:tcPr>
          <w:p w14:paraId="645FA224">
            <w:pPr>
              <w:keepNext w:val="0"/>
              <w:keepLines w:val="0"/>
              <w:pageBreakBefore w:val="0"/>
              <w:widowControl w:val="0"/>
              <w:kinsoku/>
              <w:overflowPunct/>
              <w:topLinePunct w:val="0"/>
              <w:bidi w:val="0"/>
              <w:jc w:val="left"/>
              <w:textAlignment w:val="center"/>
              <w:rPr>
                <w:rFonts w:hint="eastAsia" w:ascii="宋体" w:hAnsi="宋体" w:eastAsia="宋体" w:cs="宋体"/>
                <w:color w:val="000000"/>
                <w:szCs w:val="21"/>
                <w:lang w:eastAsia="zh-CN"/>
              </w:rPr>
            </w:pPr>
            <w:r>
              <w:rPr>
                <w:rFonts w:hint="eastAsia" w:ascii="宋体" w:hAnsi="宋体" w:cs="宋体"/>
                <w:b/>
                <w:bCs/>
                <w:color w:val="000000"/>
                <w:szCs w:val="21"/>
              </w:rPr>
              <w:t>福田院区</w:t>
            </w:r>
            <w:r>
              <w:rPr>
                <w:rFonts w:hint="eastAsia" w:ascii="宋体" w:hAnsi="宋体" w:cs="宋体"/>
                <w:b/>
                <w:bCs/>
                <w:color w:val="FF0000"/>
                <w:szCs w:val="21"/>
                <w:lang w:eastAsia="zh-CN"/>
              </w:rPr>
              <w:t>（</w:t>
            </w:r>
            <w:r>
              <w:rPr>
                <w:rFonts w:hint="eastAsia" w:ascii="宋体" w:hAnsi="宋体" w:cs="宋体"/>
                <w:b/>
                <w:bCs/>
                <w:color w:val="FF0000"/>
                <w:szCs w:val="21"/>
                <w:lang w:val="en-US" w:eastAsia="zh-CN"/>
              </w:rPr>
              <w:t>该院区投标报价的最高限价为98万，投标报价超过其最高限价的，将导致投标无效</w:t>
            </w:r>
            <w:r>
              <w:rPr>
                <w:rFonts w:hint="eastAsia" w:ascii="宋体" w:hAnsi="宋体" w:cs="宋体"/>
                <w:b/>
                <w:bCs/>
                <w:color w:val="FF0000"/>
                <w:szCs w:val="21"/>
                <w:lang w:eastAsia="zh-CN"/>
              </w:rPr>
              <w:t>）</w:t>
            </w:r>
          </w:p>
        </w:tc>
      </w:tr>
      <w:tr w14:paraId="04C1B03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restart"/>
            <w:tcBorders>
              <w:tl2br w:val="nil"/>
              <w:tr2bl w:val="nil"/>
            </w:tcBorders>
            <w:shd w:val="clear" w:color="auto" w:fill="auto"/>
            <w:vAlign w:val="center"/>
          </w:tcPr>
          <w:p w14:paraId="479F3A36">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634" w:type="dxa"/>
            <w:vMerge w:val="restart"/>
            <w:tcBorders>
              <w:tl2br w:val="nil"/>
              <w:tr2bl w:val="nil"/>
            </w:tcBorders>
            <w:shd w:val="clear" w:color="auto" w:fill="auto"/>
            <w:vAlign w:val="center"/>
          </w:tcPr>
          <w:p w14:paraId="48B1D4F1">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中心供应室</w:t>
            </w:r>
          </w:p>
        </w:tc>
        <w:tc>
          <w:tcPr>
            <w:tcW w:w="2200" w:type="dxa"/>
            <w:vMerge w:val="restart"/>
            <w:tcBorders>
              <w:tl2br w:val="nil"/>
              <w:tr2bl w:val="nil"/>
            </w:tcBorders>
            <w:shd w:val="clear" w:color="auto" w:fill="auto"/>
            <w:vAlign w:val="center"/>
          </w:tcPr>
          <w:p w14:paraId="4CD4FFD4">
            <w:pPr>
              <w:keepNext w:val="0"/>
              <w:keepLines w:val="0"/>
              <w:pageBreakBefore w:val="0"/>
              <w:widowControl w:val="0"/>
              <w:shd w:val="solid" w:color="FFFFFF" w:fill="auto"/>
              <w:kinsoku/>
              <w:overflowPunct/>
              <w:topLinePunct w:val="0"/>
              <w:autoSpaceDN w:val="0"/>
              <w:bidi w:val="0"/>
              <w:spacing w:line="360" w:lineRule="auto"/>
              <w:jc w:val="center"/>
              <w:textAlignment w:val="center"/>
              <w:rPr>
                <w:rFonts w:ascii="宋体" w:hAnsi="宋体" w:cs="宋体"/>
                <w:szCs w:val="21"/>
              </w:rPr>
            </w:pPr>
            <w:r>
              <w:rPr>
                <w:rFonts w:hint="eastAsia" w:ascii="宋体" w:hAnsi="宋体" w:cs="宋体"/>
                <w:szCs w:val="21"/>
              </w:rPr>
              <w:t>2台</w:t>
            </w:r>
          </w:p>
        </w:tc>
        <w:tc>
          <w:tcPr>
            <w:tcW w:w="800" w:type="dxa"/>
            <w:vMerge w:val="restart"/>
            <w:tcBorders>
              <w:tl2br w:val="nil"/>
              <w:tr2bl w:val="nil"/>
            </w:tcBorders>
            <w:shd w:val="clear" w:color="auto" w:fill="auto"/>
            <w:vAlign w:val="center"/>
          </w:tcPr>
          <w:p w14:paraId="64C39E4B">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5间</w:t>
            </w:r>
          </w:p>
        </w:tc>
        <w:tc>
          <w:tcPr>
            <w:tcW w:w="2466" w:type="dxa"/>
            <w:tcBorders>
              <w:tl2br w:val="nil"/>
              <w:tr2bl w:val="nil"/>
            </w:tcBorders>
            <w:shd w:val="clear" w:color="auto" w:fill="auto"/>
            <w:vAlign w:val="center"/>
          </w:tcPr>
          <w:p w14:paraId="53F12E53">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敷料间，清洁区，污染区</w:t>
            </w:r>
          </w:p>
        </w:tc>
        <w:tc>
          <w:tcPr>
            <w:tcW w:w="1642" w:type="dxa"/>
            <w:vMerge w:val="restart"/>
            <w:tcBorders>
              <w:tl2br w:val="nil"/>
              <w:tr2bl w:val="nil"/>
            </w:tcBorders>
            <w:vAlign w:val="center"/>
          </w:tcPr>
          <w:p w14:paraId="32B34EE8">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6825E46D">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continue"/>
            <w:tcBorders>
              <w:tl2br w:val="nil"/>
              <w:tr2bl w:val="nil"/>
            </w:tcBorders>
            <w:shd w:val="clear" w:color="auto" w:fill="auto"/>
            <w:vAlign w:val="center"/>
          </w:tcPr>
          <w:p w14:paraId="30AEFB57">
            <w:pPr>
              <w:keepNext w:val="0"/>
              <w:keepLines w:val="0"/>
              <w:pageBreakBefore w:val="0"/>
              <w:widowControl w:val="0"/>
              <w:kinsoku/>
              <w:overflowPunct/>
              <w:topLinePunct w:val="0"/>
              <w:bidi w:val="0"/>
              <w:jc w:val="center"/>
              <w:textAlignment w:val="center"/>
              <w:rPr>
                <w:rFonts w:ascii="宋体" w:hAnsi="宋体" w:cs="宋体"/>
                <w:color w:val="000000"/>
                <w:szCs w:val="21"/>
              </w:rPr>
            </w:pPr>
          </w:p>
        </w:tc>
        <w:tc>
          <w:tcPr>
            <w:tcW w:w="1634" w:type="dxa"/>
            <w:vMerge w:val="continue"/>
            <w:tcBorders>
              <w:tl2br w:val="nil"/>
              <w:tr2bl w:val="nil"/>
            </w:tcBorders>
            <w:vAlign w:val="center"/>
          </w:tcPr>
          <w:p w14:paraId="33F3DDEF">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200" w:type="dxa"/>
            <w:vMerge w:val="continue"/>
            <w:tcBorders>
              <w:tl2br w:val="nil"/>
              <w:tr2bl w:val="nil"/>
            </w:tcBorders>
            <w:vAlign w:val="center"/>
          </w:tcPr>
          <w:p w14:paraId="051F1194">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800" w:type="dxa"/>
            <w:vMerge w:val="continue"/>
            <w:tcBorders>
              <w:tl2br w:val="nil"/>
              <w:tr2bl w:val="nil"/>
            </w:tcBorders>
            <w:vAlign w:val="center"/>
          </w:tcPr>
          <w:p w14:paraId="35A82499">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466" w:type="dxa"/>
            <w:tcBorders>
              <w:tl2br w:val="nil"/>
              <w:tr2bl w:val="nil"/>
            </w:tcBorders>
            <w:shd w:val="clear" w:color="auto" w:fill="auto"/>
            <w:vAlign w:val="center"/>
          </w:tcPr>
          <w:p w14:paraId="0236527A">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无菌区 ，一次性物品库</w:t>
            </w:r>
          </w:p>
        </w:tc>
        <w:tc>
          <w:tcPr>
            <w:tcW w:w="1642" w:type="dxa"/>
            <w:vMerge w:val="continue"/>
            <w:tcBorders>
              <w:tl2br w:val="nil"/>
              <w:tr2bl w:val="nil"/>
            </w:tcBorders>
            <w:vAlign w:val="center"/>
          </w:tcPr>
          <w:p w14:paraId="206A08A6">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34D52C11">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restart"/>
            <w:tcBorders>
              <w:tl2br w:val="nil"/>
              <w:tr2bl w:val="nil"/>
            </w:tcBorders>
            <w:shd w:val="clear" w:color="auto" w:fill="auto"/>
            <w:vAlign w:val="center"/>
          </w:tcPr>
          <w:p w14:paraId="4FF54332">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w:t>
            </w:r>
          </w:p>
        </w:tc>
        <w:tc>
          <w:tcPr>
            <w:tcW w:w="1634" w:type="dxa"/>
            <w:vMerge w:val="restart"/>
            <w:tcBorders>
              <w:tl2br w:val="nil"/>
              <w:tr2bl w:val="nil"/>
            </w:tcBorders>
            <w:shd w:val="clear" w:color="auto" w:fill="auto"/>
            <w:vAlign w:val="center"/>
          </w:tcPr>
          <w:p w14:paraId="2CF85981">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静脉配置中心</w:t>
            </w:r>
          </w:p>
        </w:tc>
        <w:tc>
          <w:tcPr>
            <w:tcW w:w="2200" w:type="dxa"/>
            <w:vMerge w:val="restart"/>
            <w:tcBorders>
              <w:tl2br w:val="nil"/>
              <w:tr2bl w:val="nil"/>
            </w:tcBorders>
            <w:shd w:val="clear" w:color="auto" w:fill="auto"/>
            <w:vAlign w:val="center"/>
          </w:tcPr>
          <w:p w14:paraId="6B5EC73E">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2 台</w:t>
            </w:r>
          </w:p>
        </w:tc>
        <w:tc>
          <w:tcPr>
            <w:tcW w:w="800" w:type="dxa"/>
            <w:vMerge w:val="restart"/>
            <w:tcBorders>
              <w:tl2br w:val="nil"/>
              <w:tr2bl w:val="nil"/>
            </w:tcBorders>
            <w:shd w:val="clear" w:color="auto" w:fill="auto"/>
            <w:vAlign w:val="center"/>
          </w:tcPr>
          <w:p w14:paraId="08C1C031">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4间</w:t>
            </w:r>
          </w:p>
        </w:tc>
        <w:tc>
          <w:tcPr>
            <w:tcW w:w="2466" w:type="dxa"/>
            <w:tcBorders>
              <w:tl2br w:val="nil"/>
              <w:tr2bl w:val="nil"/>
            </w:tcBorders>
            <w:shd w:val="clear" w:color="auto" w:fill="auto"/>
            <w:vAlign w:val="center"/>
          </w:tcPr>
          <w:p w14:paraId="295CF160">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抗肿瘤营养间</w:t>
            </w:r>
          </w:p>
        </w:tc>
        <w:tc>
          <w:tcPr>
            <w:tcW w:w="1642" w:type="dxa"/>
            <w:vMerge w:val="restart"/>
            <w:tcBorders>
              <w:tl2br w:val="nil"/>
              <w:tr2bl w:val="nil"/>
            </w:tcBorders>
            <w:vAlign w:val="center"/>
          </w:tcPr>
          <w:p w14:paraId="2D3DDC0D">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212A112C">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continue"/>
            <w:tcBorders>
              <w:tl2br w:val="nil"/>
              <w:tr2bl w:val="nil"/>
            </w:tcBorders>
            <w:shd w:val="clear" w:color="auto" w:fill="auto"/>
            <w:vAlign w:val="center"/>
          </w:tcPr>
          <w:p w14:paraId="2BAAC21C">
            <w:pPr>
              <w:keepNext w:val="0"/>
              <w:keepLines w:val="0"/>
              <w:pageBreakBefore w:val="0"/>
              <w:widowControl w:val="0"/>
              <w:kinsoku/>
              <w:overflowPunct/>
              <w:topLinePunct w:val="0"/>
              <w:bidi w:val="0"/>
              <w:jc w:val="center"/>
              <w:textAlignment w:val="center"/>
              <w:rPr>
                <w:rFonts w:ascii="宋体" w:hAnsi="宋体" w:cs="宋体"/>
                <w:color w:val="000000"/>
                <w:szCs w:val="21"/>
              </w:rPr>
            </w:pPr>
          </w:p>
        </w:tc>
        <w:tc>
          <w:tcPr>
            <w:tcW w:w="1634" w:type="dxa"/>
            <w:vMerge w:val="continue"/>
            <w:tcBorders>
              <w:tl2br w:val="nil"/>
              <w:tr2bl w:val="nil"/>
            </w:tcBorders>
            <w:vAlign w:val="center"/>
          </w:tcPr>
          <w:p w14:paraId="48B7B87B">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200" w:type="dxa"/>
            <w:vMerge w:val="continue"/>
            <w:tcBorders>
              <w:tl2br w:val="nil"/>
              <w:tr2bl w:val="nil"/>
            </w:tcBorders>
            <w:vAlign w:val="center"/>
          </w:tcPr>
          <w:p w14:paraId="1E16052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800" w:type="dxa"/>
            <w:vMerge w:val="continue"/>
            <w:tcBorders>
              <w:tl2br w:val="nil"/>
              <w:tr2bl w:val="nil"/>
            </w:tcBorders>
            <w:vAlign w:val="center"/>
          </w:tcPr>
          <w:p w14:paraId="4DABC2E9">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466" w:type="dxa"/>
            <w:tcBorders>
              <w:tl2br w:val="nil"/>
              <w:tr2bl w:val="nil"/>
            </w:tcBorders>
            <w:shd w:val="clear" w:color="auto" w:fill="auto"/>
            <w:vAlign w:val="center"/>
          </w:tcPr>
          <w:p w14:paraId="30DA5202">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普通配置间</w:t>
            </w:r>
          </w:p>
        </w:tc>
        <w:tc>
          <w:tcPr>
            <w:tcW w:w="1642" w:type="dxa"/>
            <w:vMerge w:val="continue"/>
            <w:tcBorders>
              <w:tl2br w:val="nil"/>
              <w:tr2bl w:val="nil"/>
            </w:tcBorders>
            <w:vAlign w:val="center"/>
          </w:tcPr>
          <w:p w14:paraId="4226BB58">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21BC4924">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restart"/>
            <w:tcBorders>
              <w:tl2br w:val="nil"/>
              <w:tr2bl w:val="nil"/>
            </w:tcBorders>
            <w:shd w:val="clear" w:color="auto" w:fill="auto"/>
            <w:vAlign w:val="center"/>
          </w:tcPr>
          <w:p w14:paraId="1DCCD3BE">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3</w:t>
            </w:r>
          </w:p>
        </w:tc>
        <w:tc>
          <w:tcPr>
            <w:tcW w:w="1634" w:type="dxa"/>
            <w:vMerge w:val="restart"/>
            <w:tcBorders>
              <w:tl2br w:val="nil"/>
              <w:tr2bl w:val="nil"/>
            </w:tcBorders>
            <w:shd w:val="clear" w:color="auto" w:fill="auto"/>
            <w:vAlign w:val="center"/>
          </w:tcPr>
          <w:p w14:paraId="3C2ADA80">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PICU</w:t>
            </w:r>
          </w:p>
        </w:tc>
        <w:tc>
          <w:tcPr>
            <w:tcW w:w="2200" w:type="dxa"/>
            <w:vMerge w:val="restart"/>
            <w:tcBorders>
              <w:tl2br w:val="nil"/>
              <w:tr2bl w:val="nil"/>
            </w:tcBorders>
            <w:shd w:val="clear" w:color="auto" w:fill="auto"/>
            <w:vAlign w:val="center"/>
          </w:tcPr>
          <w:p w14:paraId="5834230B">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3台</w:t>
            </w:r>
          </w:p>
        </w:tc>
        <w:tc>
          <w:tcPr>
            <w:tcW w:w="800" w:type="dxa"/>
            <w:vMerge w:val="restart"/>
            <w:tcBorders>
              <w:tl2br w:val="nil"/>
              <w:tr2bl w:val="nil"/>
            </w:tcBorders>
            <w:shd w:val="clear" w:color="auto" w:fill="auto"/>
            <w:vAlign w:val="center"/>
          </w:tcPr>
          <w:p w14:paraId="444C3B61">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6间</w:t>
            </w:r>
          </w:p>
        </w:tc>
        <w:tc>
          <w:tcPr>
            <w:tcW w:w="2466" w:type="dxa"/>
            <w:tcBorders>
              <w:tl2br w:val="nil"/>
              <w:tr2bl w:val="nil"/>
            </w:tcBorders>
            <w:shd w:val="clear" w:color="auto" w:fill="auto"/>
            <w:vAlign w:val="center"/>
          </w:tcPr>
          <w:p w14:paraId="5FE7F32A">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病床大厅</w:t>
            </w:r>
          </w:p>
        </w:tc>
        <w:tc>
          <w:tcPr>
            <w:tcW w:w="1642" w:type="dxa"/>
            <w:vMerge w:val="restart"/>
            <w:tcBorders>
              <w:tl2br w:val="nil"/>
              <w:tr2bl w:val="nil"/>
            </w:tcBorders>
            <w:vAlign w:val="center"/>
          </w:tcPr>
          <w:p w14:paraId="6DE4A860">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7C295468">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continue"/>
            <w:tcBorders>
              <w:tl2br w:val="nil"/>
              <w:tr2bl w:val="nil"/>
            </w:tcBorders>
            <w:shd w:val="clear" w:color="auto" w:fill="auto"/>
            <w:vAlign w:val="center"/>
          </w:tcPr>
          <w:p w14:paraId="36D7D338">
            <w:pPr>
              <w:keepNext w:val="0"/>
              <w:keepLines w:val="0"/>
              <w:pageBreakBefore w:val="0"/>
              <w:widowControl w:val="0"/>
              <w:kinsoku/>
              <w:overflowPunct/>
              <w:topLinePunct w:val="0"/>
              <w:bidi w:val="0"/>
              <w:jc w:val="center"/>
              <w:textAlignment w:val="center"/>
              <w:rPr>
                <w:rFonts w:ascii="宋体" w:hAnsi="宋体" w:cs="宋体"/>
                <w:color w:val="000000"/>
                <w:szCs w:val="21"/>
              </w:rPr>
            </w:pPr>
          </w:p>
        </w:tc>
        <w:tc>
          <w:tcPr>
            <w:tcW w:w="1634" w:type="dxa"/>
            <w:vMerge w:val="continue"/>
            <w:tcBorders>
              <w:tl2br w:val="nil"/>
              <w:tr2bl w:val="nil"/>
            </w:tcBorders>
            <w:vAlign w:val="center"/>
          </w:tcPr>
          <w:p w14:paraId="07114CB3">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200" w:type="dxa"/>
            <w:vMerge w:val="continue"/>
            <w:tcBorders>
              <w:tl2br w:val="nil"/>
              <w:tr2bl w:val="nil"/>
            </w:tcBorders>
            <w:vAlign w:val="center"/>
          </w:tcPr>
          <w:p w14:paraId="11A6F5F8">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800" w:type="dxa"/>
            <w:vMerge w:val="continue"/>
            <w:tcBorders>
              <w:tl2br w:val="nil"/>
              <w:tr2bl w:val="nil"/>
            </w:tcBorders>
            <w:vAlign w:val="center"/>
          </w:tcPr>
          <w:p w14:paraId="674CA7AF">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466" w:type="dxa"/>
            <w:tcBorders>
              <w:tl2br w:val="nil"/>
              <w:tr2bl w:val="nil"/>
            </w:tcBorders>
            <w:shd w:val="clear" w:color="auto" w:fill="auto"/>
            <w:vAlign w:val="center"/>
          </w:tcPr>
          <w:p w14:paraId="207DFCEB">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负压病房</w:t>
            </w:r>
          </w:p>
        </w:tc>
        <w:tc>
          <w:tcPr>
            <w:tcW w:w="1642" w:type="dxa"/>
            <w:vMerge w:val="continue"/>
            <w:tcBorders>
              <w:tl2br w:val="nil"/>
              <w:tr2bl w:val="nil"/>
            </w:tcBorders>
            <w:vAlign w:val="center"/>
          </w:tcPr>
          <w:p w14:paraId="5AE3432F">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3E07FAD1">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continue"/>
            <w:tcBorders>
              <w:tl2br w:val="nil"/>
              <w:tr2bl w:val="nil"/>
            </w:tcBorders>
            <w:shd w:val="clear" w:color="auto" w:fill="auto"/>
            <w:vAlign w:val="center"/>
          </w:tcPr>
          <w:p w14:paraId="06871E98">
            <w:pPr>
              <w:keepNext w:val="0"/>
              <w:keepLines w:val="0"/>
              <w:pageBreakBefore w:val="0"/>
              <w:widowControl w:val="0"/>
              <w:kinsoku/>
              <w:overflowPunct/>
              <w:topLinePunct w:val="0"/>
              <w:bidi w:val="0"/>
              <w:jc w:val="center"/>
              <w:textAlignment w:val="center"/>
              <w:rPr>
                <w:rFonts w:ascii="宋体" w:hAnsi="宋体" w:cs="宋体"/>
                <w:color w:val="000000"/>
                <w:szCs w:val="21"/>
              </w:rPr>
            </w:pPr>
          </w:p>
        </w:tc>
        <w:tc>
          <w:tcPr>
            <w:tcW w:w="1634" w:type="dxa"/>
            <w:vMerge w:val="continue"/>
            <w:tcBorders>
              <w:tl2br w:val="nil"/>
              <w:tr2bl w:val="nil"/>
            </w:tcBorders>
            <w:vAlign w:val="center"/>
          </w:tcPr>
          <w:p w14:paraId="3E7294E6">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200" w:type="dxa"/>
            <w:vMerge w:val="continue"/>
            <w:tcBorders>
              <w:tl2br w:val="nil"/>
              <w:tr2bl w:val="nil"/>
            </w:tcBorders>
            <w:vAlign w:val="center"/>
          </w:tcPr>
          <w:p w14:paraId="0D5CF9D4">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800" w:type="dxa"/>
            <w:vMerge w:val="continue"/>
            <w:tcBorders>
              <w:tl2br w:val="nil"/>
              <w:tr2bl w:val="nil"/>
            </w:tcBorders>
            <w:vAlign w:val="center"/>
          </w:tcPr>
          <w:p w14:paraId="3B467E03">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466" w:type="dxa"/>
            <w:tcBorders>
              <w:tl2br w:val="nil"/>
              <w:tr2bl w:val="nil"/>
            </w:tcBorders>
            <w:shd w:val="clear" w:color="auto" w:fill="auto"/>
            <w:vAlign w:val="center"/>
          </w:tcPr>
          <w:p w14:paraId="0A1FEAFA">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正压病房</w:t>
            </w:r>
          </w:p>
        </w:tc>
        <w:tc>
          <w:tcPr>
            <w:tcW w:w="1642" w:type="dxa"/>
            <w:vMerge w:val="continue"/>
            <w:tcBorders>
              <w:tl2br w:val="nil"/>
              <w:tr2bl w:val="nil"/>
            </w:tcBorders>
            <w:vAlign w:val="center"/>
          </w:tcPr>
          <w:p w14:paraId="4FC54339">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1157750A">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tcBorders>
              <w:tl2br w:val="nil"/>
              <w:tr2bl w:val="nil"/>
            </w:tcBorders>
            <w:shd w:val="clear" w:color="auto" w:fill="auto"/>
            <w:vAlign w:val="center"/>
          </w:tcPr>
          <w:p w14:paraId="0A2E6BE6">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4</w:t>
            </w:r>
          </w:p>
        </w:tc>
        <w:tc>
          <w:tcPr>
            <w:tcW w:w="1634" w:type="dxa"/>
            <w:tcBorders>
              <w:tl2br w:val="nil"/>
              <w:tr2bl w:val="nil"/>
            </w:tcBorders>
            <w:shd w:val="clear" w:color="auto" w:fill="auto"/>
            <w:vAlign w:val="center"/>
          </w:tcPr>
          <w:p w14:paraId="6897BBBF">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NICU</w:t>
            </w:r>
          </w:p>
        </w:tc>
        <w:tc>
          <w:tcPr>
            <w:tcW w:w="2200" w:type="dxa"/>
            <w:tcBorders>
              <w:tl2br w:val="nil"/>
              <w:tr2bl w:val="nil"/>
            </w:tcBorders>
            <w:shd w:val="clear" w:color="auto" w:fill="auto"/>
            <w:vAlign w:val="center"/>
          </w:tcPr>
          <w:p w14:paraId="1ED34A0F">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8台</w:t>
            </w:r>
          </w:p>
        </w:tc>
        <w:tc>
          <w:tcPr>
            <w:tcW w:w="800" w:type="dxa"/>
            <w:tcBorders>
              <w:tl2br w:val="nil"/>
              <w:tr2bl w:val="nil"/>
            </w:tcBorders>
            <w:shd w:val="clear" w:color="auto" w:fill="auto"/>
            <w:vAlign w:val="center"/>
          </w:tcPr>
          <w:p w14:paraId="0ED648C6">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6间</w:t>
            </w:r>
          </w:p>
        </w:tc>
        <w:tc>
          <w:tcPr>
            <w:tcW w:w="2466" w:type="dxa"/>
            <w:tcBorders>
              <w:tl2br w:val="nil"/>
              <w:tr2bl w:val="nil"/>
            </w:tcBorders>
            <w:shd w:val="clear" w:color="auto" w:fill="auto"/>
            <w:vAlign w:val="center"/>
          </w:tcPr>
          <w:p w14:paraId="1AE9FBD3">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A,B,C,D，V区</w:t>
            </w:r>
          </w:p>
        </w:tc>
        <w:tc>
          <w:tcPr>
            <w:tcW w:w="1642" w:type="dxa"/>
            <w:tcBorders>
              <w:tl2br w:val="nil"/>
              <w:tr2bl w:val="nil"/>
            </w:tcBorders>
            <w:vAlign w:val="center"/>
          </w:tcPr>
          <w:p w14:paraId="79777677">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041DAB7E">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26" w:hRule="atLeast"/>
          <w:jc w:val="center"/>
        </w:trPr>
        <w:tc>
          <w:tcPr>
            <w:tcW w:w="833" w:type="dxa"/>
            <w:tcBorders>
              <w:tl2br w:val="nil"/>
              <w:tr2bl w:val="nil"/>
            </w:tcBorders>
            <w:shd w:val="clear" w:color="auto" w:fill="auto"/>
            <w:vAlign w:val="center"/>
          </w:tcPr>
          <w:p w14:paraId="218C1821">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5</w:t>
            </w:r>
          </w:p>
        </w:tc>
        <w:tc>
          <w:tcPr>
            <w:tcW w:w="1634" w:type="dxa"/>
            <w:tcBorders>
              <w:tl2br w:val="nil"/>
              <w:tr2bl w:val="nil"/>
            </w:tcBorders>
            <w:shd w:val="clear" w:color="auto" w:fill="auto"/>
            <w:vAlign w:val="center"/>
          </w:tcPr>
          <w:p w14:paraId="491376FC">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检验科</w:t>
            </w:r>
          </w:p>
        </w:tc>
        <w:tc>
          <w:tcPr>
            <w:tcW w:w="2200" w:type="dxa"/>
            <w:tcBorders>
              <w:tl2br w:val="nil"/>
              <w:tr2bl w:val="nil"/>
            </w:tcBorders>
            <w:shd w:val="clear" w:color="auto" w:fill="auto"/>
            <w:vAlign w:val="center"/>
          </w:tcPr>
          <w:p w14:paraId="36BE75A9">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1台</w:t>
            </w:r>
          </w:p>
        </w:tc>
        <w:tc>
          <w:tcPr>
            <w:tcW w:w="800" w:type="dxa"/>
            <w:tcBorders>
              <w:tl2br w:val="nil"/>
              <w:tr2bl w:val="nil"/>
            </w:tcBorders>
            <w:shd w:val="clear" w:color="auto" w:fill="auto"/>
            <w:vAlign w:val="center"/>
          </w:tcPr>
          <w:p w14:paraId="26295FC7">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466" w:type="dxa"/>
            <w:tcBorders>
              <w:tl2br w:val="nil"/>
              <w:tr2bl w:val="nil"/>
            </w:tcBorders>
            <w:shd w:val="clear" w:color="auto" w:fill="auto"/>
            <w:vAlign w:val="center"/>
          </w:tcPr>
          <w:p w14:paraId="56FFE56B">
            <w:pPr>
              <w:keepNext w:val="0"/>
              <w:keepLines w:val="0"/>
              <w:pageBreakBefore w:val="0"/>
              <w:widowControl w:val="0"/>
              <w:kinsoku/>
              <w:overflowPunct/>
              <w:topLinePunct w:val="0"/>
              <w:bidi w:val="0"/>
              <w:rPr>
                <w:rFonts w:ascii="宋体" w:hAnsi="宋体" w:cs="宋体"/>
                <w:szCs w:val="21"/>
              </w:rPr>
            </w:pPr>
          </w:p>
        </w:tc>
        <w:tc>
          <w:tcPr>
            <w:tcW w:w="1642" w:type="dxa"/>
            <w:tcBorders>
              <w:tl2br w:val="nil"/>
              <w:tr2bl w:val="nil"/>
            </w:tcBorders>
            <w:vAlign w:val="center"/>
          </w:tcPr>
          <w:p w14:paraId="65B42727">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7008BC9E">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restart"/>
            <w:tcBorders>
              <w:tl2br w:val="nil"/>
              <w:tr2bl w:val="nil"/>
            </w:tcBorders>
            <w:shd w:val="clear" w:color="auto" w:fill="auto"/>
            <w:vAlign w:val="center"/>
          </w:tcPr>
          <w:p w14:paraId="490ECFD8">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634" w:type="dxa"/>
            <w:vMerge w:val="restart"/>
            <w:tcBorders>
              <w:tl2br w:val="nil"/>
              <w:tr2bl w:val="nil"/>
            </w:tcBorders>
            <w:shd w:val="clear" w:color="auto" w:fill="auto"/>
            <w:vAlign w:val="center"/>
          </w:tcPr>
          <w:p w14:paraId="1D476C30">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5楼手术室部</w:t>
            </w:r>
          </w:p>
        </w:tc>
        <w:tc>
          <w:tcPr>
            <w:tcW w:w="2200" w:type="dxa"/>
            <w:vMerge w:val="restart"/>
            <w:tcBorders>
              <w:tl2br w:val="nil"/>
              <w:tr2bl w:val="nil"/>
            </w:tcBorders>
            <w:shd w:val="clear" w:color="auto" w:fill="auto"/>
            <w:vAlign w:val="center"/>
          </w:tcPr>
          <w:p w14:paraId="093D56FF">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24台</w:t>
            </w:r>
          </w:p>
        </w:tc>
        <w:tc>
          <w:tcPr>
            <w:tcW w:w="800" w:type="dxa"/>
            <w:vMerge w:val="restart"/>
            <w:tcBorders>
              <w:tl2br w:val="nil"/>
              <w:tr2bl w:val="nil"/>
            </w:tcBorders>
            <w:shd w:val="clear" w:color="auto" w:fill="auto"/>
            <w:vAlign w:val="center"/>
          </w:tcPr>
          <w:p w14:paraId="0C72D224">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34间</w:t>
            </w:r>
          </w:p>
        </w:tc>
        <w:tc>
          <w:tcPr>
            <w:tcW w:w="2466" w:type="dxa"/>
            <w:tcBorders>
              <w:tl2br w:val="nil"/>
              <w:tr2bl w:val="nil"/>
            </w:tcBorders>
            <w:shd w:val="clear" w:color="auto" w:fill="auto"/>
            <w:vAlign w:val="center"/>
          </w:tcPr>
          <w:p w14:paraId="269CEE55">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1#，2#，3#，复合手术室，</w:t>
            </w:r>
          </w:p>
        </w:tc>
        <w:tc>
          <w:tcPr>
            <w:tcW w:w="1642" w:type="dxa"/>
            <w:vMerge w:val="restart"/>
            <w:tcBorders>
              <w:tl2br w:val="nil"/>
              <w:tr2bl w:val="nil"/>
            </w:tcBorders>
            <w:vAlign w:val="center"/>
          </w:tcPr>
          <w:p w14:paraId="73AACA78">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1A0B3132">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1218" w:hRule="atLeast"/>
          <w:jc w:val="center"/>
        </w:trPr>
        <w:tc>
          <w:tcPr>
            <w:tcW w:w="833" w:type="dxa"/>
            <w:vMerge w:val="continue"/>
            <w:tcBorders>
              <w:tl2br w:val="nil"/>
              <w:tr2bl w:val="nil"/>
            </w:tcBorders>
            <w:vAlign w:val="center"/>
          </w:tcPr>
          <w:p w14:paraId="5361D4A1">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34" w:type="dxa"/>
            <w:vMerge w:val="continue"/>
            <w:tcBorders>
              <w:tl2br w:val="nil"/>
              <w:tr2bl w:val="nil"/>
            </w:tcBorders>
            <w:vAlign w:val="center"/>
          </w:tcPr>
          <w:p w14:paraId="00C7530B">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200" w:type="dxa"/>
            <w:vMerge w:val="continue"/>
            <w:tcBorders>
              <w:tl2br w:val="nil"/>
              <w:tr2bl w:val="nil"/>
            </w:tcBorders>
            <w:vAlign w:val="center"/>
          </w:tcPr>
          <w:p w14:paraId="7AABBFA8">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800" w:type="dxa"/>
            <w:vMerge w:val="continue"/>
            <w:tcBorders>
              <w:tl2br w:val="nil"/>
              <w:tr2bl w:val="nil"/>
            </w:tcBorders>
            <w:vAlign w:val="center"/>
          </w:tcPr>
          <w:p w14:paraId="14A5F6CD">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466" w:type="dxa"/>
            <w:tcBorders>
              <w:tl2br w:val="nil"/>
              <w:tr2bl w:val="nil"/>
            </w:tcBorders>
            <w:shd w:val="clear" w:color="auto" w:fill="auto"/>
            <w:vAlign w:val="center"/>
          </w:tcPr>
          <w:p w14:paraId="483F3B62">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4#，5#，6#，7#，8#，9#，10#，11#，12#，15#，17#，18#，19#，DSA,20#,</w:t>
            </w:r>
          </w:p>
        </w:tc>
        <w:tc>
          <w:tcPr>
            <w:tcW w:w="1642" w:type="dxa"/>
            <w:vMerge w:val="continue"/>
            <w:tcBorders>
              <w:tl2br w:val="nil"/>
              <w:tr2bl w:val="nil"/>
            </w:tcBorders>
            <w:vAlign w:val="center"/>
          </w:tcPr>
          <w:p w14:paraId="2E24154E">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1D203CEC">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continue"/>
            <w:tcBorders>
              <w:tl2br w:val="nil"/>
              <w:tr2bl w:val="nil"/>
            </w:tcBorders>
            <w:vAlign w:val="center"/>
          </w:tcPr>
          <w:p w14:paraId="7B4FD705">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34" w:type="dxa"/>
            <w:vMerge w:val="continue"/>
            <w:tcBorders>
              <w:tl2br w:val="nil"/>
              <w:tr2bl w:val="nil"/>
            </w:tcBorders>
            <w:vAlign w:val="center"/>
          </w:tcPr>
          <w:p w14:paraId="6A729394">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200" w:type="dxa"/>
            <w:vMerge w:val="continue"/>
            <w:tcBorders>
              <w:tl2br w:val="nil"/>
              <w:tr2bl w:val="nil"/>
            </w:tcBorders>
            <w:vAlign w:val="center"/>
          </w:tcPr>
          <w:p w14:paraId="1E9C77FC">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800" w:type="dxa"/>
            <w:vMerge w:val="continue"/>
            <w:tcBorders>
              <w:tl2br w:val="nil"/>
              <w:tr2bl w:val="nil"/>
            </w:tcBorders>
            <w:vAlign w:val="center"/>
          </w:tcPr>
          <w:p w14:paraId="528BE2EF">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466" w:type="dxa"/>
            <w:tcBorders>
              <w:tl2br w:val="nil"/>
              <w:tr2bl w:val="nil"/>
            </w:tcBorders>
            <w:shd w:val="clear" w:color="auto" w:fill="auto"/>
            <w:vAlign w:val="center"/>
          </w:tcPr>
          <w:p w14:paraId="4D4CF190">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16#</w:t>
            </w:r>
          </w:p>
        </w:tc>
        <w:tc>
          <w:tcPr>
            <w:tcW w:w="1642" w:type="dxa"/>
            <w:vMerge w:val="continue"/>
            <w:tcBorders>
              <w:tl2br w:val="nil"/>
              <w:tr2bl w:val="nil"/>
            </w:tcBorders>
            <w:vAlign w:val="center"/>
          </w:tcPr>
          <w:p w14:paraId="3CD0B797">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1CD740FE">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744" w:hRule="atLeast"/>
          <w:jc w:val="center"/>
        </w:trPr>
        <w:tc>
          <w:tcPr>
            <w:tcW w:w="833" w:type="dxa"/>
            <w:tcBorders>
              <w:tl2br w:val="nil"/>
              <w:tr2bl w:val="nil"/>
            </w:tcBorders>
            <w:vAlign w:val="center"/>
          </w:tcPr>
          <w:p w14:paraId="29C55018">
            <w:pPr>
              <w:keepNext w:val="0"/>
              <w:keepLines w:val="0"/>
              <w:pageBreakBefore w:val="0"/>
              <w:widowControl w:val="0"/>
              <w:kinsoku/>
              <w:overflowPunct/>
              <w:topLinePunct w:val="0"/>
              <w:bidi w:val="0"/>
              <w:jc w:val="center"/>
              <w:textAlignment w:val="center"/>
              <w:rPr>
                <w:rFonts w:ascii="宋体" w:hAnsi="宋体" w:cs="宋体"/>
                <w:szCs w:val="21"/>
              </w:rPr>
            </w:pPr>
            <w:r>
              <w:rPr>
                <w:rFonts w:hint="eastAsia" w:ascii="宋体" w:hAnsi="宋体" w:cs="宋体"/>
                <w:szCs w:val="21"/>
              </w:rPr>
              <w:t>7</w:t>
            </w:r>
          </w:p>
        </w:tc>
        <w:tc>
          <w:tcPr>
            <w:tcW w:w="1634" w:type="dxa"/>
            <w:tcBorders>
              <w:tl2br w:val="nil"/>
              <w:tr2bl w:val="nil"/>
            </w:tcBorders>
            <w:shd w:val="clear" w:color="auto" w:fill="auto"/>
            <w:vAlign w:val="center"/>
          </w:tcPr>
          <w:p w14:paraId="0C43CC9F">
            <w:pPr>
              <w:keepNext w:val="0"/>
              <w:keepLines w:val="0"/>
              <w:pageBreakBefore w:val="0"/>
              <w:widowControl w:val="0"/>
              <w:kinsoku/>
              <w:overflowPunct/>
              <w:topLinePunct w:val="0"/>
              <w:bidi w:val="0"/>
              <w:snapToGrid w:val="0"/>
              <w:jc w:val="center"/>
              <w:outlineLvl w:val="1"/>
              <w:rPr>
                <w:rFonts w:ascii="宋体" w:hAnsi="宋体" w:cs="宋体"/>
                <w:szCs w:val="21"/>
              </w:rPr>
            </w:pPr>
            <w:r>
              <w:rPr>
                <w:rFonts w:hint="eastAsia" w:ascii="宋体" w:hAnsi="宋体" w:cs="宋体"/>
                <w:szCs w:val="21"/>
              </w:rPr>
              <w:t>B栋楼顶天台</w:t>
            </w:r>
          </w:p>
        </w:tc>
        <w:tc>
          <w:tcPr>
            <w:tcW w:w="5466" w:type="dxa"/>
            <w:gridSpan w:val="3"/>
            <w:tcBorders>
              <w:tl2br w:val="nil"/>
              <w:tr2bl w:val="nil"/>
            </w:tcBorders>
            <w:vAlign w:val="center"/>
          </w:tcPr>
          <w:p w14:paraId="79CDA97B">
            <w:pPr>
              <w:keepNext w:val="0"/>
              <w:keepLines w:val="0"/>
              <w:pageBreakBefore w:val="0"/>
              <w:widowControl w:val="0"/>
              <w:kinsoku/>
              <w:overflowPunct/>
              <w:topLinePunct w:val="0"/>
              <w:bidi w:val="0"/>
              <w:snapToGrid w:val="0"/>
              <w:jc w:val="center"/>
              <w:outlineLvl w:val="1"/>
              <w:rPr>
                <w:rFonts w:ascii="宋体" w:hAnsi="宋体" w:cs="宋体"/>
                <w:szCs w:val="21"/>
              </w:rPr>
            </w:pPr>
            <w:bookmarkStart w:id="19" w:name="_Hlk76378436"/>
            <w:r>
              <w:rPr>
                <w:rFonts w:hint="eastAsia" w:ascii="宋体" w:hAnsi="宋体" w:cs="宋体"/>
                <w:szCs w:val="21"/>
              </w:rPr>
              <w:t>3台室外风冷螺杆冷热源机组、水泵8台</w:t>
            </w:r>
          </w:p>
          <w:bookmarkEnd w:id="19"/>
          <w:p w14:paraId="52C63004">
            <w:pPr>
              <w:keepNext w:val="0"/>
              <w:keepLines w:val="0"/>
              <w:pageBreakBefore w:val="0"/>
              <w:widowControl w:val="0"/>
              <w:kinsoku/>
              <w:overflowPunct/>
              <w:topLinePunct w:val="0"/>
              <w:bidi w:val="0"/>
              <w:snapToGrid w:val="0"/>
              <w:jc w:val="center"/>
              <w:outlineLvl w:val="1"/>
              <w:rPr>
                <w:rFonts w:ascii="宋体" w:hAnsi="宋体" w:cs="宋体"/>
                <w:szCs w:val="21"/>
              </w:rPr>
            </w:pPr>
            <w:r>
              <w:rPr>
                <w:rFonts w:hint="eastAsia" w:ascii="宋体" w:hAnsi="宋体" w:cs="宋体"/>
                <w:szCs w:val="21"/>
              </w:rPr>
              <w:t>NICU,B区一台冷源机组，C区一台冷源机组，V区两台冷源机组</w:t>
            </w:r>
          </w:p>
        </w:tc>
        <w:tc>
          <w:tcPr>
            <w:tcW w:w="1642" w:type="dxa"/>
            <w:tcBorders>
              <w:tl2br w:val="nil"/>
              <w:tr2bl w:val="nil"/>
            </w:tcBorders>
            <w:vAlign w:val="center"/>
          </w:tcPr>
          <w:p w14:paraId="512FD3BB">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52C93D43">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tcBorders>
              <w:tl2br w:val="nil"/>
              <w:tr2bl w:val="nil"/>
            </w:tcBorders>
            <w:vAlign w:val="center"/>
          </w:tcPr>
          <w:p w14:paraId="1401C698">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634" w:type="dxa"/>
            <w:tcBorders>
              <w:tl2br w:val="nil"/>
              <w:tr2bl w:val="nil"/>
            </w:tcBorders>
            <w:shd w:val="clear" w:color="auto" w:fill="auto"/>
            <w:vAlign w:val="center"/>
          </w:tcPr>
          <w:p w14:paraId="062D22FF">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8楼泌尿科（一间）</w:t>
            </w:r>
          </w:p>
        </w:tc>
        <w:tc>
          <w:tcPr>
            <w:tcW w:w="2200" w:type="dxa"/>
            <w:tcBorders>
              <w:tl2br w:val="nil"/>
              <w:tr2bl w:val="nil"/>
            </w:tcBorders>
            <w:shd w:val="clear" w:color="auto" w:fill="auto"/>
            <w:vAlign w:val="center"/>
          </w:tcPr>
          <w:p w14:paraId="1B7FA8E8">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自动门50扇</w:t>
            </w:r>
          </w:p>
        </w:tc>
        <w:tc>
          <w:tcPr>
            <w:tcW w:w="800" w:type="dxa"/>
            <w:tcBorders>
              <w:tl2br w:val="nil"/>
              <w:tr2bl w:val="nil"/>
            </w:tcBorders>
            <w:shd w:val="clear" w:color="auto" w:fill="auto"/>
            <w:vAlign w:val="center"/>
          </w:tcPr>
          <w:p w14:paraId="3D0EDDA5">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466" w:type="dxa"/>
            <w:tcBorders>
              <w:tl2br w:val="nil"/>
              <w:tr2bl w:val="nil"/>
            </w:tcBorders>
            <w:shd w:val="clear" w:color="auto" w:fill="auto"/>
            <w:vAlign w:val="center"/>
          </w:tcPr>
          <w:p w14:paraId="4C6B8844">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1642" w:type="dxa"/>
            <w:tcBorders>
              <w:tl2br w:val="nil"/>
              <w:tr2bl w:val="nil"/>
            </w:tcBorders>
            <w:vAlign w:val="center"/>
          </w:tcPr>
          <w:p w14:paraId="76179AA8">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535B2863">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restart"/>
            <w:tcBorders>
              <w:tl2br w:val="nil"/>
              <w:tr2bl w:val="nil"/>
            </w:tcBorders>
            <w:vAlign w:val="center"/>
          </w:tcPr>
          <w:p w14:paraId="39EFCA7C">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634" w:type="dxa"/>
            <w:vMerge w:val="restart"/>
            <w:tcBorders>
              <w:tl2br w:val="nil"/>
              <w:tr2bl w:val="nil"/>
            </w:tcBorders>
            <w:shd w:val="clear" w:color="auto" w:fill="auto"/>
            <w:vAlign w:val="center"/>
          </w:tcPr>
          <w:p w14:paraId="6D0AE221">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1楼日间手术室</w:t>
            </w:r>
          </w:p>
        </w:tc>
        <w:tc>
          <w:tcPr>
            <w:tcW w:w="2200" w:type="dxa"/>
            <w:tcBorders>
              <w:tl2br w:val="nil"/>
              <w:tr2bl w:val="nil"/>
            </w:tcBorders>
            <w:shd w:val="clear" w:color="auto" w:fill="auto"/>
            <w:vAlign w:val="center"/>
          </w:tcPr>
          <w:p w14:paraId="6E91D530">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6台机组，4台冷源机组，4台水泵</w:t>
            </w:r>
          </w:p>
        </w:tc>
        <w:tc>
          <w:tcPr>
            <w:tcW w:w="800" w:type="dxa"/>
            <w:tcBorders>
              <w:tl2br w:val="nil"/>
              <w:tr2bl w:val="nil"/>
            </w:tcBorders>
            <w:shd w:val="clear" w:color="auto" w:fill="auto"/>
            <w:vAlign w:val="center"/>
          </w:tcPr>
          <w:p w14:paraId="5C6254C6">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4间</w:t>
            </w:r>
          </w:p>
        </w:tc>
        <w:tc>
          <w:tcPr>
            <w:tcW w:w="2466" w:type="dxa"/>
            <w:tcBorders>
              <w:tl2br w:val="nil"/>
              <w:tr2bl w:val="nil"/>
            </w:tcBorders>
            <w:shd w:val="clear" w:color="auto" w:fill="auto"/>
            <w:vAlign w:val="center"/>
          </w:tcPr>
          <w:p w14:paraId="4ED40086">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手术室1.手术室2.手术室3.手术室4</w:t>
            </w:r>
          </w:p>
        </w:tc>
        <w:tc>
          <w:tcPr>
            <w:tcW w:w="1642" w:type="dxa"/>
            <w:vMerge w:val="restart"/>
            <w:tcBorders>
              <w:tl2br w:val="nil"/>
              <w:tr2bl w:val="nil"/>
            </w:tcBorders>
            <w:vAlign w:val="center"/>
          </w:tcPr>
          <w:p w14:paraId="5BA73657">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706BF84A">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continue"/>
            <w:tcBorders>
              <w:tl2br w:val="nil"/>
              <w:tr2bl w:val="nil"/>
            </w:tcBorders>
            <w:vAlign w:val="center"/>
          </w:tcPr>
          <w:p w14:paraId="0CBFD41D">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34" w:type="dxa"/>
            <w:vMerge w:val="continue"/>
            <w:tcBorders>
              <w:tl2br w:val="nil"/>
              <w:tr2bl w:val="nil"/>
            </w:tcBorders>
            <w:vAlign w:val="center"/>
          </w:tcPr>
          <w:p w14:paraId="77DA05FA">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200" w:type="dxa"/>
            <w:tcBorders>
              <w:tl2br w:val="nil"/>
              <w:tr2bl w:val="nil"/>
            </w:tcBorders>
            <w:shd w:val="clear" w:color="auto" w:fill="auto"/>
            <w:vAlign w:val="center"/>
          </w:tcPr>
          <w:p w14:paraId="1444FAF8">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自动门14扇</w:t>
            </w:r>
          </w:p>
        </w:tc>
        <w:tc>
          <w:tcPr>
            <w:tcW w:w="800" w:type="dxa"/>
            <w:tcBorders>
              <w:tl2br w:val="nil"/>
              <w:tr2bl w:val="nil"/>
            </w:tcBorders>
            <w:shd w:val="clear" w:color="auto" w:fill="auto"/>
            <w:vAlign w:val="center"/>
          </w:tcPr>
          <w:p w14:paraId="28093F46">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466" w:type="dxa"/>
            <w:tcBorders>
              <w:tl2br w:val="nil"/>
              <w:tr2bl w:val="nil"/>
            </w:tcBorders>
            <w:shd w:val="clear" w:color="auto" w:fill="auto"/>
            <w:vAlign w:val="center"/>
          </w:tcPr>
          <w:p w14:paraId="0CFBD2AC">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1642" w:type="dxa"/>
            <w:vMerge w:val="continue"/>
            <w:tcBorders>
              <w:tl2br w:val="nil"/>
              <w:tr2bl w:val="nil"/>
            </w:tcBorders>
            <w:vAlign w:val="center"/>
          </w:tcPr>
          <w:p w14:paraId="7FDB11D8">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72E6EC30">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restart"/>
            <w:tcBorders>
              <w:tl2br w:val="nil"/>
              <w:tr2bl w:val="nil"/>
            </w:tcBorders>
            <w:vAlign w:val="center"/>
          </w:tcPr>
          <w:p w14:paraId="053D2D99">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634" w:type="dxa"/>
            <w:vMerge w:val="restart"/>
            <w:tcBorders>
              <w:tl2br w:val="nil"/>
              <w:tr2bl w:val="nil"/>
            </w:tcBorders>
            <w:shd w:val="clear" w:color="auto" w:fill="auto"/>
            <w:vAlign w:val="center"/>
          </w:tcPr>
          <w:p w14:paraId="08CD5F8C">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5楼负压手术室</w:t>
            </w:r>
          </w:p>
        </w:tc>
        <w:tc>
          <w:tcPr>
            <w:tcW w:w="2200" w:type="dxa"/>
            <w:tcBorders>
              <w:tl2br w:val="nil"/>
              <w:tr2bl w:val="nil"/>
            </w:tcBorders>
            <w:shd w:val="clear" w:color="auto" w:fill="auto"/>
            <w:vAlign w:val="center"/>
          </w:tcPr>
          <w:p w14:paraId="18DC1568">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3台机组，10台冷源机组，6台排风机组</w:t>
            </w:r>
          </w:p>
        </w:tc>
        <w:tc>
          <w:tcPr>
            <w:tcW w:w="800" w:type="dxa"/>
            <w:tcBorders>
              <w:tl2br w:val="nil"/>
              <w:tr2bl w:val="nil"/>
            </w:tcBorders>
            <w:shd w:val="clear" w:color="auto" w:fill="auto"/>
            <w:vAlign w:val="center"/>
          </w:tcPr>
          <w:p w14:paraId="6A9C0D42">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2间</w:t>
            </w:r>
          </w:p>
        </w:tc>
        <w:tc>
          <w:tcPr>
            <w:tcW w:w="2466" w:type="dxa"/>
            <w:tcBorders>
              <w:tl2br w:val="nil"/>
              <w:tr2bl w:val="nil"/>
            </w:tcBorders>
            <w:shd w:val="clear" w:color="auto" w:fill="auto"/>
            <w:vAlign w:val="center"/>
          </w:tcPr>
          <w:p w14:paraId="515CCD9B">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18#.19#</w:t>
            </w:r>
          </w:p>
        </w:tc>
        <w:tc>
          <w:tcPr>
            <w:tcW w:w="1642" w:type="dxa"/>
            <w:vMerge w:val="restart"/>
            <w:tcBorders>
              <w:tl2br w:val="nil"/>
              <w:tr2bl w:val="nil"/>
            </w:tcBorders>
            <w:vAlign w:val="center"/>
          </w:tcPr>
          <w:p w14:paraId="2E192790">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2581BE9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90" w:hRule="atLeast"/>
          <w:jc w:val="center"/>
        </w:trPr>
        <w:tc>
          <w:tcPr>
            <w:tcW w:w="833" w:type="dxa"/>
            <w:vMerge w:val="continue"/>
            <w:tcBorders>
              <w:tl2br w:val="nil"/>
              <w:tr2bl w:val="nil"/>
            </w:tcBorders>
            <w:vAlign w:val="center"/>
          </w:tcPr>
          <w:p w14:paraId="2E1173BD">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34" w:type="dxa"/>
            <w:vMerge w:val="continue"/>
            <w:tcBorders>
              <w:tl2br w:val="nil"/>
              <w:tr2bl w:val="nil"/>
            </w:tcBorders>
            <w:vAlign w:val="center"/>
          </w:tcPr>
          <w:p w14:paraId="6C823B5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200" w:type="dxa"/>
            <w:tcBorders>
              <w:tl2br w:val="nil"/>
              <w:tr2bl w:val="nil"/>
            </w:tcBorders>
            <w:shd w:val="clear" w:color="auto" w:fill="auto"/>
            <w:vAlign w:val="center"/>
          </w:tcPr>
          <w:p w14:paraId="2118488A">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7扇自动门</w:t>
            </w:r>
          </w:p>
        </w:tc>
        <w:tc>
          <w:tcPr>
            <w:tcW w:w="800" w:type="dxa"/>
            <w:tcBorders>
              <w:tl2br w:val="nil"/>
              <w:tr2bl w:val="nil"/>
            </w:tcBorders>
            <w:shd w:val="clear" w:color="auto" w:fill="auto"/>
            <w:vAlign w:val="center"/>
          </w:tcPr>
          <w:p w14:paraId="03B6CC7D">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466" w:type="dxa"/>
            <w:tcBorders>
              <w:tl2br w:val="nil"/>
              <w:tr2bl w:val="nil"/>
            </w:tcBorders>
            <w:shd w:val="clear" w:color="auto" w:fill="auto"/>
            <w:vAlign w:val="center"/>
          </w:tcPr>
          <w:p w14:paraId="693FCC4B">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1642" w:type="dxa"/>
            <w:vMerge w:val="continue"/>
            <w:tcBorders>
              <w:tl2br w:val="nil"/>
              <w:tr2bl w:val="nil"/>
            </w:tcBorders>
            <w:vAlign w:val="center"/>
          </w:tcPr>
          <w:p w14:paraId="52FC6548">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54F6C210">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534" w:hRule="atLeast"/>
          <w:jc w:val="center"/>
        </w:trPr>
        <w:tc>
          <w:tcPr>
            <w:tcW w:w="833" w:type="dxa"/>
            <w:vMerge w:val="restart"/>
            <w:tcBorders>
              <w:tl2br w:val="nil"/>
              <w:tr2bl w:val="nil"/>
            </w:tcBorders>
            <w:vAlign w:val="center"/>
          </w:tcPr>
          <w:p w14:paraId="29093076">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634" w:type="dxa"/>
            <w:vMerge w:val="restart"/>
            <w:tcBorders>
              <w:tl2br w:val="nil"/>
              <w:tr2bl w:val="nil"/>
            </w:tcBorders>
            <w:shd w:val="clear" w:color="auto" w:fill="auto"/>
            <w:vAlign w:val="center"/>
          </w:tcPr>
          <w:p w14:paraId="765BD279">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PICU负压病房</w:t>
            </w:r>
          </w:p>
        </w:tc>
        <w:tc>
          <w:tcPr>
            <w:tcW w:w="2200" w:type="dxa"/>
            <w:tcBorders>
              <w:tl2br w:val="nil"/>
              <w:tr2bl w:val="nil"/>
            </w:tcBorders>
            <w:shd w:val="clear" w:color="auto" w:fill="auto"/>
            <w:vAlign w:val="center"/>
          </w:tcPr>
          <w:p w14:paraId="3FF984F5">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ascii="宋体" w:hAnsi="宋体" w:cs="宋体"/>
                <w:color w:val="auto"/>
                <w:szCs w:val="21"/>
              </w:rPr>
              <w:t>1台机组</w:t>
            </w:r>
            <w:r>
              <w:rPr>
                <w:rFonts w:hint="eastAsia" w:ascii="宋体" w:hAnsi="宋体" w:cs="宋体"/>
                <w:color w:val="auto"/>
                <w:szCs w:val="21"/>
              </w:rPr>
              <w:t>、1台排风机组，3台冷源</w:t>
            </w:r>
            <w:r>
              <w:rPr>
                <w:rFonts w:hint="eastAsia" w:ascii="宋体" w:hAnsi="宋体" w:cs="宋体"/>
                <w:szCs w:val="21"/>
              </w:rPr>
              <w:t>机组</w:t>
            </w:r>
          </w:p>
        </w:tc>
        <w:tc>
          <w:tcPr>
            <w:tcW w:w="800" w:type="dxa"/>
            <w:tcBorders>
              <w:tl2br w:val="nil"/>
              <w:tr2bl w:val="nil"/>
            </w:tcBorders>
            <w:shd w:val="clear" w:color="auto" w:fill="auto"/>
            <w:vAlign w:val="center"/>
          </w:tcPr>
          <w:p w14:paraId="6191D228">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5间</w:t>
            </w:r>
          </w:p>
        </w:tc>
        <w:tc>
          <w:tcPr>
            <w:tcW w:w="2466" w:type="dxa"/>
            <w:tcBorders>
              <w:tl2br w:val="nil"/>
              <w:tr2bl w:val="nil"/>
            </w:tcBorders>
            <w:shd w:val="clear" w:color="auto" w:fill="auto"/>
            <w:vAlign w:val="center"/>
          </w:tcPr>
          <w:p w14:paraId="61C37081">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1642" w:type="dxa"/>
            <w:vMerge w:val="restart"/>
            <w:tcBorders>
              <w:tl2br w:val="nil"/>
              <w:tr2bl w:val="nil"/>
            </w:tcBorders>
            <w:vAlign w:val="center"/>
          </w:tcPr>
          <w:p w14:paraId="0121050E">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5B421E8F">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90" w:hRule="atLeast"/>
          <w:jc w:val="center"/>
        </w:trPr>
        <w:tc>
          <w:tcPr>
            <w:tcW w:w="833" w:type="dxa"/>
            <w:vMerge w:val="continue"/>
            <w:tcBorders>
              <w:tl2br w:val="nil"/>
              <w:tr2bl w:val="nil"/>
            </w:tcBorders>
            <w:vAlign w:val="center"/>
          </w:tcPr>
          <w:p w14:paraId="64E6F9C8">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34" w:type="dxa"/>
            <w:vMerge w:val="continue"/>
            <w:tcBorders>
              <w:tl2br w:val="nil"/>
              <w:tr2bl w:val="nil"/>
            </w:tcBorders>
            <w:shd w:val="clear" w:color="auto" w:fill="auto"/>
            <w:vAlign w:val="center"/>
          </w:tcPr>
          <w:p w14:paraId="43B7465C">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200" w:type="dxa"/>
            <w:tcBorders>
              <w:tl2br w:val="nil"/>
              <w:tr2bl w:val="nil"/>
            </w:tcBorders>
            <w:shd w:val="clear" w:color="auto" w:fill="auto"/>
            <w:vAlign w:val="center"/>
          </w:tcPr>
          <w:p w14:paraId="7B5BECFA">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10扇自动门</w:t>
            </w:r>
          </w:p>
        </w:tc>
        <w:tc>
          <w:tcPr>
            <w:tcW w:w="800" w:type="dxa"/>
            <w:tcBorders>
              <w:tl2br w:val="nil"/>
              <w:tr2bl w:val="nil"/>
            </w:tcBorders>
            <w:shd w:val="clear" w:color="auto" w:fill="auto"/>
            <w:vAlign w:val="center"/>
          </w:tcPr>
          <w:p w14:paraId="22705048">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466" w:type="dxa"/>
            <w:tcBorders>
              <w:tl2br w:val="nil"/>
              <w:tr2bl w:val="nil"/>
            </w:tcBorders>
            <w:shd w:val="clear" w:color="auto" w:fill="auto"/>
            <w:vAlign w:val="center"/>
          </w:tcPr>
          <w:p w14:paraId="7A0AABE7">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1642" w:type="dxa"/>
            <w:vMerge w:val="continue"/>
            <w:tcBorders>
              <w:tl2br w:val="nil"/>
              <w:tr2bl w:val="nil"/>
            </w:tcBorders>
            <w:vAlign w:val="center"/>
          </w:tcPr>
          <w:p w14:paraId="057D4331">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23D1CCE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restart"/>
            <w:tcBorders>
              <w:tl2br w:val="nil"/>
              <w:tr2bl w:val="nil"/>
            </w:tcBorders>
            <w:vAlign w:val="center"/>
          </w:tcPr>
          <w:p w14:paraId="7342FB8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634" w:type="dxa"/>
            <w:vMerge w:val="restart"/>
            <w:tcBorders>
              <w:tl2br w:val="nil"/>
              <w:tr2bl w:val="nil"/>
            </w:tcBorders>
            <w:shd w:val="clear" w:color="auto" w:fill="auto"/>
            <w:vAlign w:val="center"/>
          </w:tcPr>
          <w:p w14:paraId="2DBDB084">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血液病房</w:t>
            </w:r>
          </w:p>
        </w:tc>
        <w:tc>
          <w:tcPr>
            <w:tcW w:w="2200" w:type="dxa"/>
            <w:tcBorders>
              <w:tl2br w:val="nil"/>
              <w:tr2bl w:val="nil"/>
            </w:tcBorders>
            <w:shd w:val="clear" w:color="auto" w:fill="auto"/>
            <w:vAlign w:val="center"/>
          </w:tcPr>
          <w:p w14:paraId="48041A3E">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33台风柜</w:t>
            </w:r>
          </w:p>
        </w:tc>
        <w:tc>
          <w:tcPr>
            <w:tcW w:w="800" w:type="dxa"/>
            <w:tcBorders>
              <w:tl2br w:val="nil"/>
              <w:tr2bl w:val="nil"/>
            </w:tcBorders>
            <w:shd w:val="clear" w:color="auto" w:fill="auto"/>
            <w:vAlign w:val="center"/>
          </w:tcPr>
          <w:p w14:paraId="636CB87A">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26间</w:t>
            </w:r>
          </w:p>
        </w:tc>
        <w:tc>
          <w:tcPr>
            <w:tcW w:w="2466" w:type="dxa"/>
            <w:tcBorders>
              <w:tl2br w:val="nil"/>
              <w:tr2bl w:val="nil"/>
            </w:tcBorders>
            <w:vAlign w:val="center"/>
          </w:tcPr>
          <w:p w14:paraId="5D467448">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42" w:type="dxa"/>
            <w:vMerge w:val="restart"/>
            <w:tcBorders>
              <w:tl2br w:val="nil"/>
              <w:tr2bl w:val="nil"/>
            </w:tcBorders>
            <w:vAlign w:val="center"/>
          </w:tcPr>
          <w:p w14:paraId="54FB52F1">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0537AB73">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vMerge w:val="continue"/>
            <w:tcBorders>
              <w:tl2br w:val="nil"/>
              <w:tr2bl w:val="nil"/>
            </w:tcBorders>
            <w:vAlign w:val="center"/>
          </w:tcPr>
          <w:p w14:paraId="47F5B80C">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34" w:type="dxa"/>
            <w:vMerge w:val="continue"/>
            <w:tcBorders>
              <w:tl2br w:val="nil"/>
              <w:tr2bl w:val="nil"/>
            </w:tcBorders>
            <w:shd w:val="clear" w:color="auto" w:fill="auto"/>
            <w:vAlign w:val="center"/>
          </w:tcPr>
          <w:p w14:paraId="02CF8446">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200" w:type="dxa"/>
            <w:tcBorders>
              <w:tl2br w:val="nil"/>
              <w:tr2bl w:val="nil"/>
            </w:tcBorders>
            <w:shd w:val="clear" w:color="auto" w:fill="auto"/>
            <w:vAlign w:val="center"/>
          </w:tcPr>
          <w:p w14:paraId="3F6F43A7">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自动门53扇</w:t>
            </w:r>
          </w:p>
        </w:tc>
        <w:tc>
          <w:tcPr>
            <w:tcW w:w="800" w:type="dxa"/>
            <w:tcBorders>
              <w:tl2br w:val="nil"/>
              <w:tr2bl w:val="nil"/>
            </w:tcBorders>
            <w:shd w:val="clear" w:color="auto" w:fill="auto"/>
            <w:vAlign w:val="center"/>
          </w:tcPr>
          <w:p w14:paraId="150A57B9">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466" w:type="dxa"/>
            <w:tcBorders>
              <w:tl2br w:val="nil"/>
              <w:tr2bl w:val="nil"/>
            </w:tcBorders>
            <w:vAlign w:val="center"/>
          </w:tcPr>
          <w:p w14:paraId="00125BA9">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42" w:type="dxa"/>
            <w:vMerge w:val="continue"/>
            <w:tcBorders>
              <w:tl2br w:val="nil"/>
              <w:tr2bl w:val="nil"/>
            </w:tcBorders>
            <w:vAlign w:val="center"/>
          </w:tcPr>
          <w:p w14:paraId="1D07474D">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62A7DCB0">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tcBorders>
              <w:tl2br w:val="nil"/>
              <w:tr2bl w:val="nil"/>
            </w:tcBorders>
            <w:vAlign w:val="center"/>
          </w:tcPr>
          <w:p w14:paraId="148E5B5F">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634" w:type="dxa"/>
            <w:tcBorders>
              <w:tl2br w:val="nil"/>
              <w:tr2bl w:val="nil"/>
            </w:tcBorders>
            <w:shd w:val="clear" w:color="auto" w:fill="auto"/>
            <w:vAlign w:val="center"/>
          </w:tcPr>
          <w:p w14:paraId="6EC7E5E7">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儿科研究所</w:t>
            </w:r>
          </w:p>
        </w:tc>
        <w:tc>
          <w:tcPr>
            <w:tcW w:w="2200" w:type="dxa"/>
            <w:tcBorders>
              <w:tl2br w:val="nil"/>
              <w:tr2bl w:val="nil"/>
            </w:tcBorders>
            <w:shd w:val="clear" w:color="auto" w:fill="auto"/>
            <w:vAlign w:val="center"/>
          </w:tcPr>
          <w:p w14:paraId="42D25A01">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2台风柜</w:t>
            </w:r>
          </w:p>
        </w:tc>
        <w:tc>
          <w:tcPr>
            <w:tcW w:w="800" w:type="dxa"/>
            <w:tcBorders>
              <w:tl2br w:val="nil"/>
              <w:tr2bl w:val="nil"/>
            </w:tcBorders>
            <w:shd w:val="clear" w:color="auto" w:fill="auto"/>
            <w:vAlign w:val="center"/>
          </w:tcPr>
          <w:p w14:paraId="71B4008B">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4间</w:t>
            </w:r>
          </w:p>
        </w:tc>
        <w:tc>
          <w:tcPr>
            <w:tcW w:w="2466" w:type="dxa"/>
            <w:tcBorders>
              <w:tl2br w:val="nil"/>
              <w:tr2bl w:val="nil"/>
            </w:tcBorders>
            <w:vAlign w:val="center"/>
          </w:tcPr>
          <w:p w14:paraId="5FB7B9CF">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42" w:type="dxa"/>
            <w:tcBorders>
              <w:tl2br w:val="nil"/>
              <w:tr2bl w:val="nil"/>
            </w:tcBorders>
            <w:vAlign w:val="center"/>
          </w:tcPr>
          <w:p w14:paraId="51C7D26D">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3DE50AFB">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tcBorders>
              <w:tl2br w:val="nil"/>
              <w:tr2bl w:val="nil"/>
            </w:tcBorders>
            <w:vAlign w:val="center"/>
          </w:tcPr>
          <w:p w14:paraId="6B906106">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1634" w:type="dxa"/>
            <w:tcBorders>
              <w:tl2br w:val="nil"/>
              <w:tr2bl w:val="nil"/>
            </w:tcBorders>
            <w:shd w:val="clear" w:color="auto" w:fill="auto"/>
            <w:vAlign w:val="center"/>
          </w:tcPr>
          <w:p w14:paraId="377228E9">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楼顶天台</w:t>
            </w:r>
          </w:p>
        </w:tc>
        <w:tc>
          <w:tcPr>
            <w:tcW w:w="2200" w:type="dxa"/>
            <w:tcBorders>
              <w:tl2br w:val="nil"/>
              <w:tr2bl w:val="nil"/>
            </w:tcBorders>
            <w:shd w:val="clear" w:color="auto" w:fill="auto"/>
            <w:vAlign w:val="center"/>
          </w:tcPr>
          <w:p w14:paraId="4B328CBD">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12台室外冷源机组，水泵6台</w:t>
            </w:r>
          </w:p>
        </w:tc>
        <w:tc>
          <w:tcPr>
            <w:tcW w:w="800" w:type="dxa"/>
            <w:tcBorders>
              <w:tl2br w:val="nil"/>
              <w:tr2bl w:val="nil"/>
            </w:tcBorders>
            <w:shd w:val="clear" w:color="auto" w:fill="auto"/>
            <w:vAlign w:val="center"/>
          </w:tcPr>
          <w:p w14:paraId="2ADB53AA">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p>
        </w:tc>
        <w:tc>
          <w:tcPr>
            <w:tcW w:w="2466" w:type="dxa"/>
            <w:tcBorders>
              <w:tl2br w:val="nil"/>
              <w:tr2bl w:val="nil"/>
            </w:tcBorders>
            <w:vAlign w:val="center"/>
          </w:tcPr>
          <w:p w14:paraId="2FE67B25">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42" w:type="dxa"/>
            <w:tcBorders>
              <w:tl2br w:val="nil"/>
              <w:tr2bl w:val="nil"/>
            </w:tcBorders>
            <w:vAlign w:val="center"/>
          </w:tcPr>
          <w:p w14:paraId="2AE2BA51">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7DBDCD82">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tcBorders>
              <w:tl2br w:val="nil"/>
              <w:tr2bl w:val="nil"/>
            </w:tcBorders>
            <w:vAlign w:val="center"/>
          </w:tcPr>
          <w:p w14:paraId="4DDF6601">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1634" w:type="dxa"/>
            <w:tcBorders>
              <w:tl2br w:val="nil"/>
              <w:tr2bl w:val="nil"/>
            </w:tcBorders>
            <w:shd w:val="clear" w:color="auto" w:fill="auto"/>
            <w:vAlign w:val="center"/>
          </w:tcPr>
          <w:p w14:paraId="765A5D1D">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发热门诊、内镜中心（3间）</w:t>
            </w:r>
          </w:p>
        </w:tc>
        <w:tc>
          <w:tcPr>
            <w:tcW w:w="2200" w:type="dxa"/>
            <w:tcBorders>
              <w:tl2br w:val="nil"/>
              <w:tr2bl w:val="nil"/>
            </w:tcBorders>
            <w:shd w:val="clear" w:color="auto" w:fill="auto"/>
            <w:vAlign w:val="center"/>
          </w:tcPr>
          <w:p w14:paraId="00C1E2DC">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2台风柜机组，4个排风机组</w:t>
            </w:r>
          </w:p>
        </w:tc>
        <w:tc>
          <w:tcPr>
            <w:tcW w:w="800" w:type="dxa"/>
            <w:tcBorders>
              <w:tl2br w:val="nil"/>
              <w:tr2bl w:val="nil"/>
            </w:tcBorders>
            <w:shd w:val="clear" w:color="auto" w:fill="auto"/>
            <w:vAlign w:val="center"/>
          </w:tcPr>
          <w:p w14:paraId="0BA0406C">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highlight w:val="green"/>
              </w:rPr>
            </w:pPr>
          </w:p>
        </w:tc>
        <w:tc>
          <w:tcPr>
            <w:tcW w:w="2466" w:type="dxa"/>
            <w:tcBorders>
              <w:tl2br w:val="nil"/>
              <w:tr2bl w:val="nil"/>
            </w:tcBorders>
            <w:vAlign w:val="center"/>
          </w:tcPr>
          <w:p w14:paraId="517F4994">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42" w:type="dxa"/>
            <w:tcBorders>
              <w:tl2br w:val="nil"/>
              <w:tr2bl w:val="nil"/>
            </w:tcBorders>
            <w:vAlign w:val="center"/>
          </w:tcPr>
          <w:p w14:paraId="4DF58EE7">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74458170">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tcBorders>
              <w:tl2br w:val="nil"/>
              <w:tr2bl w:val="nil"/>
            </w:tcBorders>
            <w:vAlign w:val="center"/>
          </w:tcPr>
          <w:p w14:paraId="05D1B883">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1634" w:type="dxa"/>
            <w:tcBorders>
              <w:tl2br w:val="nil"/>
              <w:tr2bl w:val="nil"/>
            </w:tcBorders>
            <w:shd w:val="clear" w:color="auto" w:fill="auto"/>
            <w:vAlign w:val="center"/>
          </w:tcPr>
          <w:p w14:paraId="68FE9726">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负压病房</w:t>
            </w:r>
          </w:p>
        </w:tc>
        <w:tc>
          <w:tcPr>
            <w:tcW w:w="2200" w:type="dxa"/>
            <w:tcBorders>
              <w:tl2br w:val="nil"/>
              <w:tr2bl w:val="nil"/>
            </w:tcBorders>
            <w:shd w:val="clear" w:color="auto" w:fill="auto"/>
            <w:vAlign w:val="center"/>
          </w:tcPr>
          <w:p w14:paraId="076FEBEC">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4台风柜机组</w:t>
            </w:r>
          </w:p>
        </w:tc>
        <w:tc>
          <w:tcPr>
            <w:tcW w:w="800" w:type="dxa"/>
            <w:tcBorders>
              <w:tl2br w:val="nil"/>
              <w:tr2bl w:val="nil"/>
            </w:tcBorders>
            <w:shd w:val="clear" w:color="auto" w:fill="auto"/>
            <w:vAlign w:val="center"/>
          </w:tcPr>
          <w:p w14:paraId="754D1B94">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highlight w:val="green"/>
              </w:rPr>
            </w:pPr>
          </w:p>
        </w:tc>
        <w:tc>
          <w:tcPr>
            <w:tcW w:w="2466" w:type="dxa"/>
            <w:tcBorders>
              <w:tl2br w:val="nil"/>
              <w:tr2bl w:val="nil"/>
            </w:tcBorders>
            <w:vAlign w:val="center"/>
          </w:tcPr>
          <w:p w14:paraId="463F6E11">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42" w:type="dxa"/>
            <w:tcBorders>
              <w:tl2br w:val="nil"/>
              <w:tr2bl w:val="nil"/>
            </w:tcBorders>
            <w:vAlign w:val="center"/>
          </w:tcPr>
          <w:p w14:paraId="74FDDAA5">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01285261">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tcBorders>
              <w:tl2br w:val="nil"/>
              <w:tr2bl w:val="nil"/>
            </w:tcBorders>
            <w:vAlign w:val="center"/>
          </w:tcPr>
          <w:p w14:paraId="2E13D62F">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17</w:t>
            </w:r>
          </w:p>
        </w:tc>
        <w:tc>
          <w:tcPr>
            <w:tcW w:w="1634" w:type="dxa"/>
            <w:tcBorders>
              <w:tl2br w:val="nil"/>
              <w:tr2bl w:val="nil"/>
            </w:tcBorders>
            <w:shd w:val="clear" w:color="auto" w:fill="auto"/>
            <w:vAlign w:val="center"/>
          </w:tcPr>
          <w:p w14:paraId="58F6441E">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楼顶及天台</w:t>
            </w:r>
          </w:p>
        </w:tc>
        <w:tc>
          <w:tcPr>
            <w:tcW w:w="2200" w:type="dxa"/>
            <w:tcBorders>
              <w:tl2br w:val="nil"/>
              <w:tr2bl w:val="nil"/>
            </w:tcBorders>
            <w:shd w:val="clear" w:color="auto" w:fill="auto"/>
            <w:vAlign w:val="center"/>
          </w:tcPr>
          <w:p w14:paraId="50CDF08A">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10台冷源机组，3台热泵机组</w:t>
            </w:r>
          </w:p>
        </w:tc>
        <w:tc>
          <w:tcPr>
            <w:tcW w:w="800" w:type="dxa"/>
            <w:tcBorders>
              <w:tl2br w:val="nil"/>
              <w:tr2bl w:val="nil"/>
            </w:tcBorders>
            <w:shd w:val="clear" w:color="auto" w:fill="auto"/>
            <w:vAlign w:val="center"/>
          </w:tcPr>
          <w:p w14:paraId="46ECB5E4">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highlight w:val="green"/>
              </w:rPr>
            </w:pPr>
          </w:p>
        </w:tc>
        <w:tc>
          <w:tcPr>
            <w:tcW w:w="2466" w:type="dxa"/>
            <w:tcBorders>
              <w:tl2br w:val="nil"/>
              <w:tr2bl w:val="nil"/>
            </w:tcBorders>
            <w:vAlign w:val="center"/>
          </w:tcPr>
          <w:p w14:paraId="5FAE346C">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42" w:type="dxa"/>
            <w:tcBorders>
              <w:tl2br w:val="nil"/>
              <w:tr2bl w:val="nil"/>
            </w:tcBorders>
            <w:vAlign w:val="center"/>
          </w:tcPr>
          <w:p w14:paraId="62C244E4">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1BFBA07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833" w:type="dxa"/>
            <w:tcBorders>
              <w:tl2br w:val="nil"/>
              <w:tr2bl w:val="nil"/>
            </w:tcBorders>
            <w:vAlign w:val="center"/>
          </w:tcPr>
          <w:p w14:paraId="600B7728">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w:t>
            </w:r>
          </w:p>
        </w:tc>
        <w:tc>
          <w:tcPr>
            <w:tcW w:w="1634" w:type="dxa"/>
            <w:tcBorders>
              <w:tl2br w:val="nil"/>
              <w:tr2bl w:val="nil"/>
            </w:tcBorders>
            <w:shd w:val="clear" w:color="auto" w:fill="auto"/>
            <w:vAlign w:val="center"/>
          </w:tcPr>
          <w:p w14:paraId="740683FF">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东门临建楼2楼检验科实验室</w:t>
            </w:r>
          </w:p>
        </w:tc>
        <w:tc>
          <w:tcPr>
            <w:tcW w:w="2200" w:type="dxa"/>
            <w:tcBorders>
              <w:tl2br w:val="nil"/>
              <w:tr2bl w:val="nil"/>
            </w:tcBorders>
            <w:vAlign w:val="center"/>
          </w:tcPr>
          <w:p w14:paraId="18920DCB">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4台风柜机组，4</w:t>
            </w:r>
            <w:r>
              <w:rPr>
                <w:rFonts w:hint="eastAsia" w:ascii="宋体" w:hAnsi="宋体" w:cs="宋体"/>
                <w:szCs w:val="21"/>
              </w:rPr>
              <w:t>台热泵机组</w:t>
            </w:r>
          </w:p>
        </w:tc>
        <w:tc>
          <w:tcPr>
            <w:tcW w:w="800" w:type="dxa"/>
            <w:tcBorders>
              <w:tl2br w:val="nil"/>
              <w:tr2bl w:val="nil"/>
            </w:tcBorders>
            <w:vAlign w:val="center"/>
          </w:tcPr>
          <w:p w14:paraId="563B2272">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8间</w:t>
            </w:r>
          </w:p>
        </w:tc>
        <w:tc>
          <w:tcPr>
            <w:tcW w:w="2466" w:type="dxa"/>
            <w:tcBorders>
              <w:tl2br w:val="nil"/>
              <w:tr2bl w:val="nil"/>
            </w:tcBorders>
            <w:vAlign w:val="center"/>
          </w:tcPr>
          <w:p w14:paraId="23979A1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1642" w:type="dxa"/>
            <w:tcBorders>
              <w:tl2br w:val="nil"/>
              <w:tr2bl w:val="nil"/>
            </w:tcBorders>
            <w:vAlign w:val="center"/>
          </w:tcPr>
          <w:p w14:paraId="1406C8D6">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45BA4AF3">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90" w:hRule="atLeast"/>
          <w:jc w:val="center"/>
        </w:trPr>
        <w:tc>
          <w:tcPr>
            <w:tcW w:w="7933" w:type="dxa"/>
            <w:gridSpan w:val="5"/>
            <w:tcBorders>
              <w:tl2br w:val="nil"/>
              <w:tr2bl w:val="nil"/>
            </w:tcBorders>
            <w:vAlign w:val="center"/>
          </w:tcPr>
          <w:p w14:paraId="452102E1">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b/>
                <w:bCs/>
                <w:color w:val="000000"/>
                <w:szCs w:val="21"/>
              </w:rPr>
              <w:t>福田院区</w:t>
            </w:r>
            <w:r>
              <w:rPr>
                <w:rFonts w:hint="eastAsia" w:ascii="宋体" w:hAnsi="宋体" w:cs="宋体"/>
                <w:b/>
                <w:bCs/>
                <w:color w:val="000000"/>
                <w:kern w:val="0"/>
                <w:szCs w:val="21"/>
                <w:lang w:bidi="ar"/>
              </w:rPr>
              <w:t>小计</w:t>
            </w:r>
          </w:p>
        </w:tc>
        <w:tc>
          <w:tcPr>
            <w:tcW w:w="1642" w:type="dxa"/>
            <w:tcBorders>
              <w:tl2br w:val="nil"/>
              <w:tr2bl w:val="nil"/>
            </w:tcBorders>
            <w:vAlign w:val="center"/>
          </w:tcPr>
          <w:p w14:paraId="1430A7AA">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208CA588">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0" w:hRule="atLeast"/>
          <w:jc w:val="center"/>
        </w:trPr>
        <w:tc>
          <w:tcPr>
            <w:tcW w:w="9575" w:type="dxa"/>
            <w:gridSpan w:val="6"/>
            <w:tcBorders>
              <w:tl2br w:val="nil"/>
              <w:tr2bl w:val="nil"/>
            </w:tcBorders>
            <w:vAlign w:val="center"/>
          </w:tcPr>
          <w:p w14:paraId="73004C44">
            <w:pPr>
              <w:keepNext w:val="0"/>
              <w:keepLines w:val="0"/>
              <w:pageBreakBefore w:val="0"/>
              <w:widowControl w:val="0"/>
              <w:kinsoku/>
              <w:overflowPunct/>
              <w:topLinePunct w:val="0"/>
              <w:bidi w:val="0"/>
              <w:jc w:val="left"/>
              <w:textAlignment w:val="center"/>
              <w:rPr>
                <w:rFonts w:ascii="宋体" w:hAnsi="宋体" w:cs="宋体"/>
                <w:color w:val="000000"/>
                <w:szCs w:val="21"/>
              </w:rPr>
            </w:pPr>
            <w:r>
              <w:rPr>
                <w:rFonts w:hint="eastAsia" w:ascii="宋体" w:hAnsi="宋体" w:cs="宋体"/>
                <w:b/>
                <w:bCs/>
                <w:color w:val="000000"/>
                <w:szCs w:val="21"/>
              </w:rPr>
              <w:t>龙华院区</w:t>
            </w:r>
            <w:r>
              <w:rPr>
                <w:rFonts w:hint="eastAsia" w:ascii="宋体" w:hAnsi="宋体" w:cs="宋体"/>
                <w:b/>
                <w:bCs/>
                <w:color w:val="FF0000"/>
                <w:szCs w:val="21"/>
                <w:lang w:eastAsia="zh-CN"/>
              </w:rPr>
              <w:t>（</w:t>
            </w:r>
            <w:r>
              <w:rPr>
                <w:rFonts w:hint="eastAsia" w:ascii="宋体" w:hAnsi="宋体" w:cs="宋体"/>
                <w:b/>
                <w:bCs/>
                <w:color w:val="FF0000"/>
                <w:szCs w:val="21"/>
                <w:lang w:val="en-US" w:eastAsia="zh-CN"/>
              </w:rPr>
              <w:t>该院区投标报价的最高限价为80万，投标报价超过其最高限价的，将导致投标无效</w:t>
            </w:r>
            <w:r>
              <w:rPr>
                <w:rFonts w:hint="eastAsia" w:ascii="宋体" w:hAnsi="宋体" w:cs="宋体"/>
                <w:b/>
                <w:bCs/>
                <w:color w:val="FF0000"/>
                <w:szCs w:val="21"/>
                <w:lang w:eastAsia="zh-CN"/>
              </w:rPr>
              <w:t>）</w:t>
            </w:r>
          </w:p>
        </w:tc>
      </w:tr>
      <w:tr w14:paraId="585002BD">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02" w:hRule="atLeast"/>
          <w:jc w:val="center"/>
        </w:trPr>
        <w:tc>
          <w:tcPr>
            <w:tcW w:w="833" w:type="dxa"/>
            <w:tcBorders>
              <w:tl2br w:val="nil"/>
              <w:tr2bl w:val="nil"/>
            </w:tcBorders>
            <w:vAlign w:val="center"/>
          </w:tcPr>
          <w:p w14:paraId="5E1182DF">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19</w:t>
            </w:r>
          </w:p>
        </w:tc>
        <w:tc>
          <w:tcPr>
            <w:tcW w:w="1634" w:type="dxa"/>
            <w:tcBorders>
              <w:tl2br w:val="nil"/>
              <w:tr2bl w:val="nil"/>
            </w:tcBorders>
            <w:shd w:val="clear" w:color="auto" w:fill="auto"/>
            <w:vAlign w:val="center"/>
          </w:tcPr>
          <w:p w14:paraId="58DA1581">
            <w:pPr>
              <w:keepNext w:val="0"/>
              <w:keepLines w:val="0"/>
              <w:pageBreakBefore w:val="0"/>
              <w:widowControl w:val="0"/>
              <w:kinsoku/>
              <w:overflowPunct/>
              <w:topLinePunct w:val="0"/>
              <w:bidi w:val="0"/>
              <w:snapToGrid w:val="0"/>
              <w:spacing w:line="360" w:lineRule="auto"/>
              <w:jc w:val="center"/>
              <w:outlineLvl w:val="1"/>
              <w:rPr>
                <w:rFonts w:ascii="宋体" w:hAnsi="宋体" w:cs="宋体"/>
                <w:szCs w:val="21"/>
              </w:rPr>
            </w:pPr>
            <w:r>
              <w:rPr>
                <w:rFonts w:hint="eastAsia" w:ascii="宋体" w:hAnsi="宋体" w:cs="宋体"/>
                <w:szCs w:val="21"/>
              </w:rPr>
              <w:t>PICU负压病房</w:t>
            </w:r>
          </w:p>
        </w:tc>
        <w:tc>
          <w:tcPr>
            <w:tcW w:w="2200" w:type="dxa"/>
            <w:tcBorders>
              <w:tl2br w:val="nil"/>
              <w:tr2bl w:val="nil"/>
            </w:tcBorders>
            <w:vAlign w:val="center"/>
          </w:tcPr>
          <w:p w14:paraId="4AF276CD">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00" w:type="dxa"/>
            <w:tcBorders>
              <w:tl2br w:val="nil"/>
              <w:tr2bl w:val="nil"/>
            </w:tcBorders>
            <w:vAlign w:val="center"/>
          </w:tcPr>
          <w:p w14:paraId="446C1F48">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2466" w:type="dxa"/>
            <w:tcBorders>
              <w:tl2br w:val="nil"/>
              <w:tr2bl w:val="nil"/>
            </w:tcBorders>
            <w:vAlign w:val="center"/>
          </w:tcPr>
          <w:p w14:paraId="43E111F0">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扩增分析区、产物扩增区、试剂准备区、缓冲区、样本制备、缓冲走廊</w:t>
            </w:r>
          </w:p>
        </w:tc>
        <w:tc>
          <w:tcPr>
            <w:tcW w:w="1642" w:type="dxa"/>
            <w:tcBorders>
              <w:tl2br w:val="nil"/>
              <w:tr2bl w:val="nil"/>
            </w:tcBorders>
            <w:vAlign w:val="center"/>
          </w:tcPr>
          <w:p w14:paraId="788307C7">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0133FE93">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5BAAAC89">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20</w:t>
            </w:r>
          </w:p>
        </w:tc>
        <w:tc>
          <w:tcPr>
            <w:tcW w:w="1634" w:type="dxa"/>
            <w:tcBorders>
              <w:tl2br w:val="nil"/>
              <w:tr2bl w:val="nil"/>
            </w:tcBorders>
            <w:vAlign w:val="center"/>
          </w:tcPr>
          <w:p w14:paraId="7C984459">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检验科PCR</w:t>
            </w:r>
          </w:p>
        </w:tc>
        <w:tc>
          <w:tcPr>
            <w:tcW w:w="2200" w:type="dxa"/>
            <w:tcBorders>
              <w:tl2br w:val="nil"/>
              <w:tr2bl w:val="nil"/>
            </w:tcBorders>
            <w:vAlign w:val="center"/>
          </w:tcPr>
          <w:p w14:paraId="535FA15C">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00" w:type="dxa"/>
            <w:tcBorders>
              <w:tl2br w:val="nil"/>
              <w:tr2bl w:val="nil"/>
            </w:tcBorders>
            <w:vAlign w:val="center"/>
          </w:tcPr>
          <w:p w14:paraId="672071F9">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2466" w:type="dxa"/>
            <w:tcBorders>
              <w:tl2br w:val="nil"/>
              <w:tr2bl w:val="nil"/>
            </w:tcBorders>
            <w:vAlign w:val="center"/>
          </w:tcPr>
          <w:p w14:paraId="62EA361C">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试剂准备区、样本制备、产物扩增区、扩增分析区、缓冲区</w:t>
            </w:r>
          </w:p>
        </w:tc>
        <w:tc>
          <w:tcPr>
            <w:tcW w:w="1642" w:type="dxa"/>
            <w:tcBorders>
              <w:tl2br w:val="nil"/>
              <w:tr2bl w:val="nil"/>
            </w:tcBorders>
            <w:vAlign w:val="center"/>
          </w:tcPr>
          <w:p w14:paraId="021CB0A6">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2CFE9BFB">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54C68084">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21</w:t>
            </w:r>
          </w:p>
        </w:tc>
        <w:tc>
          <w:tcPr>
            <w:tcW w:w="1634" w:type="dxa"/>
            <w:tcBorders>
              <w:tl2br w:val="nil"/>
              <w:tr2bl w:val="nil"/>
            </w:tcBorders>
            <w:vAlign w:val="center"/>
          </w:tcPr>
          <w:p w14:paraId="119EBDD6">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中心供应室</w:t>
            </w:r>
          </w:p>
        </w:tc>
        <w:tc>
          <w:tcPr>
            <w:tcW w:w="2200" w:type="dxa"/>
            <w:tcBorders>
              <w:tl2br w:val="nil"/>
              <w:tr2bl w:val="nil"/>
            </w:tcBorders>
            <w:vAlign w:val="center"/>
          </w:tcPr>
          <w:p w14:paraId="7A18A16B">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00" w:type="dxa"/>
            <w:tcBorders>
              <w:tl2br w:val="nil"/>
              <w:tr2bl w:val="nil"/>
            </w:tcBorders>
            <w:vAlign w:val="center"/>
          </w:tcPr>
          <w:p w14:paraId="7046472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2466" w:type="dxa"/>
            <w:tcBorders>
              <w:tl2br w:val="nil"/>
              <w:tr2bl w:val="nil"/>
            </w:tcBorders>
            <w:vAlign w:val="center"/>
          </w:tcPr>
          <w:p w14:paraId="5BCBDC6B">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无菌区、检查包装区、洁具间、低温灭菌、打包区</w:t>
            </w:r>
          </w:p>
        </w:tc>
        <w:tc>
          <w:tcPr>
            <w:tcW w:w="1642" w:type="dxa"/>
            <w:tcBorders>
              <w:tl2br w:val="nil"/>
              <w:tr2bl w:val="nil"/>
            </w:tcBorders>
            <w:vAlign w:val="center"/>
          </w:tcPr>
          <w:p w14:paraId="18B407B6">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7B6D551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7A4F1D53">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22</w:t>
            </w:r>
          </w:p>
        </w:tc>
        <w:tc>
          <w:tcPr>
            <w:tcW w:w="1634" w:type="dxa"/>
            <w:tcBorders>
              <w:tl2br w:val="nil"/>
              <w:tr2bl w:val="nil"/>
            </w:tcBorders>
            <w:noWrap/>
            <w:vAlign w:val="center"/>
          </w:tcPr>
          <w:p w14:paraId="430A6249">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日间手术室</w:t>
            </w:r>
          </w:p>
        </w:tc>
        <w:tc>
          <w:tcPr>
            <w:tcW w:w="2200" w:type="dxa"/>
            <w:tcBorders>
              <w:tl2br w:val="nil"/>
              <w:tr2bl w:val="nil"/>
            </w:tcBorders>
            <w:vAlign w:val="center"/>
          </w:tcPr>
          <w:p w14:paraId="54AF6908">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00" w:type="dxa"/>
            <w:tcBorders>
              <w:tl2br w:val="nil"/>
              <w:tr2bl w:val="nil"/>
            </w:tcBorders>
            <w:vAlign w:val="center"/>
          </w:tcPr>
          <w:p w14:paraId="5C36A1EA">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2466" w:type="dxa"/>
            <w:tcBorders>
              <w:tl2br w:val="nil"/>
              <w:tr2bl w:val="nil"/>
            </w:tcBorders>
            <w:vAlign w:val="center"/>
          </w:tcPr>
          <w:p w14:paraId="1A4FE116">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OP1～OP4、洁净走廊、恢复室、标本间</w:t>
            </w:r>
          </w:p>
        </w:tc>
        <w:tc>
          <w:tcPr>
            <w:tcW w:w="1642" w:type="dxa"/>
            <w:tcBorders>
              <w:tl2br w:val="nil"/>
              <w:tr2bl w:val="nil"/>
            </w:tcBorders>
            <w:vAlign w:val="center"/>
          </w:tcPr>
          <w:p w14:paraId="734E5571">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0071DE51">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1E5C6278">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23</w:t>
            </w:r>
          </w:p>
        </w:tc>
        <w:tc>
          <w:tcPr>
            <w:tcW w:w="1634" w:type="dxa"/>
            <w:tcBorders>
              <w:tl2br w:val="nil"/>
              <w:tr2bl w:val="nil"/>
            </w:tcBorders>
            <w:noWrap/>
            <w:vAlign w:val="center"/>
          </w:tcPr>
          <w:p w14:paraId="022E34BE">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手术室</w:t>
            </w:r>
          </w:p>
        </w:tc>
        <w:tc>
          <w:tcPr>
            <w:tcW w:w="2200" w:type="dxa"/>
            <w:tcBorders>
              <w:tl2br w:val="nil"/>
              <w:tr2bl w:val="nil"/>
            </w:tcBorders>
            <w:vAlign w:val="center"/>
          </w:tcPr>
          <w:p w14:paraId="11C0410D">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800" w:type="dxa"/>
            <w:tcBorders>
              <w:tl2br w:val="nil"/>
              <w:tr2bl w:val="nil"/>
            </w:tcBorders>
            <w:vAlign w:val="center"/>
          </w:tcPr>
          <w:p w14:paraId="244CB166">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25</w:t>
            </w:r>
          </w:p>
        </w:tc>
        <w:tc>
          <w:tcPr>
            <w:tcW w:w="2466" w:type="dxa"/>
            <w:tcBorders>
              <w:tl2br w:val="nil"/>
              <w:tr2bl w:val="nil"/>
            </w:tcBorders>
            <w:vAlign w:val="center"/>
          </w:tcPr>
          <w:p w14:paraId="3720743E">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OP1～OP20、洁净内外走廊、设备间、UPS间、石膏间、诱导室、标本间、缓冲间、辅房</w:t>
            </w:r>
          </w:p>
        </w:tc>
        <w:tc>
          <w:tcPr>
            <w:tcW w:w="1642" w:type="dxa"/>
            <w:tcBorders>
              <w:tl2br w:val="nil"/>
              <w:tr2bl w:val="nil"/>
            </w:tcBorders>
            <w:vAlign w:val="center"/>
          </w:tcPr>
          <w:p w14:paraId="76B15D16">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5A57253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321C12C5">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24</w:t>
            </w:r>
          </w:p>
        </w:tc>
        <w:tc>
          <w:tcPr>
            <w:tcW w:w="1634" w:type="dxa"/>
            <w:tcBorders>
              <w:tl2br w:val="nil"/>
              <w:tr2bl w:val="nil"/>
            </w:tcBorders>
            <w:noWrap/>
            <w:vAlign w:val="center"/>
          </w:tcPr>
          <w:p w14:paraId="0473FA78">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ICU</w:t>
            </w:r>
          </w:p>
        </w:tc>
        <w:tc>
          <w:tcPr>
            <w:tcW w:w="2200" w:type="dxa"/>
            <w:tcBorders>
              <w:tl2br w:val="nil"/>
              <w:tr2bl w:val="nil"/>
            </w:tcBorders>
            <w:vAlign w:val="center"/>
          </w:tcPr>
          <w:p w14:paraId="26D2D557">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00" w:type="dxa"/>
            <w:tcBorders>
              <w:tl2br w:val="nil"/>
              <w:tr2bl w:val="nil"/>
            </w:tcBorders>
            <w:vAlign w:val="center"/>
          </w:tcPr>
          <w:p w14:paraId="21D9AF80">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2466" w:type="dxa"/>
            <w:tcBorders>
              <w:tl2br w:val="nil"/>
              <w:tr2bl w:val="nil"/>
            </w:tcBorders>
            <w:vAlign w:val="center"/>
          </w:tcPr>
          <w:p w14:paraId="43E04C49">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大厅一、大厅二、大厅三、UPS间、配奶间、隔离1～4、隔离辅房</w:t>
            </w:r>
          </w:p>
        </w:tc>
        <w:tc>
          <w:tcPr>
            <w:tcW w:w="1642" w:type="dxa"/>
            <w:tcBorders>
              <w:tl2br w:val="nil"/>
              <w:tr2bl w:val="nil"/>
            </w:tcBorders>
            <w:vAlign w:val="center"/>
          </w:tcPr>
          <w:p w14:paraId="6228B18D">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76127122">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7DB9998C">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25</w:t>
            </w:r>
          </w:p>
        </w:tc>
        <w:tc>
          <w:tcPr>
            <w:tcW w:w="1634" w:type="dxa"/>
            <w:tcBorders>
              <w:tl2br w:val="nil"/>
              <w:tr2bl w:val="nil"/>
            </w:tcBorders>
            <w:noWrap/>
            <w:vAlign w:val="center"/>
          </w:tcPr>
          <w:p w14:paraId="1BA9264E">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NICU</w:t>
            </w:r>
          </w:p>
        </w:tc>
        <w:tc>
          <w:tcPr>
            <w:tcW w:w="2200" w:type="dxa"/>
            <w:tcBorders>
              <w:tl2br w:val="nil"/>
              <w:tr2bl w:val="nil"/>
            </w:tcBorders>
            <w:vAlign w:val="center"/>
          </w:tcPr>
          <w:p w14:paraId="06642FE1">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800" w:type="dxa"/>
            <w:tcBorders>
              <w:tl2br w:val="nil"/>
              <w:tr2bl w:val="nil"/>
            </w:tcBorders>
            <w:vAlign w:val="center"/>
          </w:tcPr>
          <w:p w14:paraId="3FE4DCA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2466" w:type="dxa"/>
            <w:tcBorders>
              <w:tl2br w:val="nil"/>
              <w:tr2bl w:val="nil"/>
            </w:tcBorders>
            <w:vAlign w:val="center"/>
          </w:tcPr>
          <w:p w14:paraId="0827CC80">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隔离病房、外科普通区、外科重症区、洁净走道、应急手术间、消毒间、缓冲走道、隔离1～3</w:t>
            </w:r>
          </w:p>
        </w:tc>
        <w:tc>
          <w:tcPr>
            <w:tcW w:w="1642" w:type="dxa"/>
            <w:tcBorders>
              <w:tl2br w:val="nil"/>
              <w:tr2bl w:val="nil"/>
            </w:tcBorders>
            <w:vAlign w:val="center"/>
          </w:tcPr>
          <w:p w14:paraId="6D13CC8F">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0924F8F4">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6E7524A8">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26</w:t>
            </w:r>
          </w:p>
        </w:tc>
        <w:tc>
          <w:tcPr>
            <w:tcW w:w="1634" w:type="dxa"/>
            <w:tcBorders>
              <w:tl2br w:val="nil"/>
              <w:tr2bl w:val="nil"/>
            </w:tcBorders>
            <w:noWrap/>
            <w:vAlign w:val="center"/>
          </w:tcPr>
          <w:p w14:paraId="1E0EACEC">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静配中心</w:t>
            </w:r>
          </w:p>
        </w:tc>
        <w:tc>
          <w:tcPr>
            <w:tcW w:w="2200" w:type="dxa"/>
            <w:tcBorders>
              <w:tl2br w:val="nil"/>
              <w:tr2bl w:val="nil"/>
            </w:tcBorders>
            <w:vAlign w:val="center"/>
          </w:tcPr>
          <w:p w14:paraId="4599F3D3">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800" w:type="dxa"/>
            <w:tcBorders>
              <w:tl2br w:val="nil"/>
              <w:tr2bl w:val="nil"/>
            </w:tcBorders>
            <w:vAlign w:val="center"/>
          </w:tcPr>
          <w:p w14:paraId="77A38C1B">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2466" w:type="dxa"/>
            <w:tcBorders>
              <w:tl2br w:val="nil"/>
              <w:tr2bl w:val="nil"/>
            </w:tcBorders>
            <w:vAlign w:val="center"/>
          </w:tcPr>
          <w:p w14:paraId="252BA94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抗生素药物、普通药物、机器人配药、缓冲</w:t>
            </w:r>
          </w:p>
        </w:tc>
        <w:tc>
          <w:tcPr>
            <w:tcW w:w="1642" w:type="dxa"/>
            <w:tcBorders>
              <w:tl2br w:val="nil"/>
              <w:tr2bl w:val="nil"/>
            </w:tcBorders>
            <w:vAlign w:val="center"/>
          </w:tcPr>
          <w:p w14:paraId="0EEDC108">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2E4DB9D9">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0D260C58">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szCs w:val="21"/>
              </w:rPr>
              <w:t>27</w:t>
            </w:r>
          </w:p>
        </w:tc>
        <w:tc>
          <w:tcPr>
            <w:tcW w:w="1634" w:type="dxa"/>
            <w:tcBorders>
              <w:tl2br w:val="nil"/>
              <w:tr2bl w:val="nil"/>
            </w:tcBorders>
            <w:noWrap/>
            <w:vAlign w:val="center"/>
          </w:tcPr>
          <w:p w14:paraId="5C390E5A">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层流病房</w:t>
            </w:r>
          </w:p>
        </w:tc>
        <w:tc>
          <w:tcPr>
            <w:tcW w:w="2200" w:type="dxa"/>
            <w:tcBorders>
              <w:tl2br w:val="nil"/>
              <w:tr2bl w:val="nil"/>
            </w:tcBorders>
            <w:vAlign w:val="center"/>
          </w:tcPr>
          <w:p w14:paraId="51E081BE">
            <w:pPr>
              <w:keepNext w:val="0"/>
              <w:keepLines w:val="0"/>
              <w:pageBreakBefore w:val="0"/>
              <w:widowControl w:val="0"/>
              <w:kinsoku/>
              <w:overflowPunct/>
              <w:topLinePunct w:val="0"/>
              <w:bidi w:val="0"/>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00" w:type="dxa"/>
            <w:tcBorders>
              <w:tl2br w:val="nil"/>
              <w:tr2bl w:val="nil"/>
            </w:tcBorders>
            <w:vAlign w:val="center"/>
          </w:tcPr>
          <w:p w14:paraId="77A7941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w:t>
            </w:r>
          </w:p>
        </w:tc>
        <w:tc>
          <w:tcPr>
            <w:tcW w:w="2466" w:type="dxa"/>
            <w:tcBorders>
              <w:tl2br w:val="nil"/>
              <w:tr2bl w:val="nil"/>
            </w:tcBorders>
            <w:vAlign w:val="center"/>
          </w:tcPr>
          <w:p w14:paraId="3C4E0EF7">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OP1～OP18、走廊、辅房</w:t>
            </w:r>
          </w:p>
        </w:tc>
        <w:tc>
          <w:tcPr>
            <w:tcW w:w="1642" w:type="dxa"/>
            <w:tcBorders>
              <w:tl2br w:val="nil"/>
              <w:tr2bl w:val="nil"/>
            </w:tcBorders>
            <w:vAlign w:val="center"/>
          </w:tcPr>
          <w:p w14:paraId="252DE374">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558E6D06">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42" w:hRule="atLeast"/>
          <w:jc w:val="center"/>
        </w:trPr>
        <w:tc>
          <w:tcPr>
            <w:tcW w:w="833" w:type="dxa"/>
            <w:tcBorders>
              <w:tl2br w:val="nil"/>
              <w:tr2bl w:val="nil"/>
            </w:tcBorders>
            <w:vAlign w:val="center"/>
          </w:tcPr>
          <w:p w14:paraId="563F160B">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28</w:t>
            </w:r>
          </w:p>
        </w:tc>
        <w:tc>
          <w:tcPr>
            <w:tcW w:w="1634" w:type="dxa"/>
            <w:tcBorders>
              <w:tl2br w:val="nil"/>
              <w:tr2bl w:val="nil"/>
            </w:tcBorders>
            <w:noWrap/>
            <w:vAlign w:val="center"/>
          </w:tcPr>
          <w:p w14:paraId="5BDCBA72">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冷热源系统</w:t>
            </w:r>
          </w:p>
        </w:tc>
        <w:tc>
          <w:tcPr>
            <w:tcW w:w="2200" w:type="dxa"/>
            <w:tcBorders>
              <w:tl2br w:val="nil"/>
              <w:tr2bl w:val="nil"/>
            </w:tcBorders>
            <w:vAlign w:val="center"/>
          </w:tcPr>
          <w:p w14:paraId="2B3BDA0F">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800" w:type="dxa"/>
            <w:tcBorders>
              <w:tl2br w:val="nil"/>
              <w:tr2bl w:val="nil"/>
            </w:tcBorders>
            <w:vAlign w:val="center"/>
          </w:tcPr>
          <w:p w14:paraId="1CDCBAA3">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p>
        </w:tc>
        <w:tc>
          <w:tcPr>
            <w:tcW w:w="2466" w:type="dxa"/>
            <w:tcBorders>
              <w:tl2br w:val="nil"/>
              <w:tr2bl w:val="nil"/>
            </w:tcBorders>
            <w:vAlign w:val="center"/>
          </w:tcPr>
          <w:p w14:paraId="22A47105">
            <w:pPr>
              <w:keepNext w:val="0"/>
              <w:keepLines w:val="0"/>
              <w:pageBreakBefore w:val="0"/>
              <w:widowControl w:val="0"/>
              <w:kinsoku/>
              <w:overflowPunct/>
              <w:topLinePunct w:val="0"/>
              <w:bidi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天面</w:t>
            </w:r>
          </w:p>
        </w:tc>
        <w:tc>
          <w:tcPr>
            <w:tcW w:w="1642" w:type="dxa"/>
            <w:tcBorders>
              <w:tl2br w:val="nil"/>
              <w:tr2bl w:val="nil"/>
            </w:tcBorders>
            <w:vAlign w:val="center"/>
          </w:tcPr>
          <w:p w14:paraId="0C4C7FE3">
            <w:pPr>
              <w:keepNext w:val="0"/>
              <w:keepLines w:val="0"/>
              <w:pageBreakBefore w:val="0"/>
              <w:widowControl w:val="0"/>
              <w:kinsoku/>
              <w:overflowPunct/>
              <w:topLinePunct w:val="0"/>
              <w:bidi w:val="0"/>
              <w:jc w:val="center"/>
              <w:textAlignment w:val="center"/>
              <w:rPr>
                <w:rFonts w:ascii="宋体" w:hAnsi="宋体" w:cs="宋体"/>
                <w:color w:val="000000"/>
                <w:szCs w:val="21"/>
              </w:rPr>
            </w:pPr>
          </w:p>
        </w:tc>
      </w:tr>
      <w:tr w14:paraId="6BD05023">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63" w:hRule="atLeast"/>
          <w:jc w:val="center"/>
        </w:trPr>
        <w:tc>
          <w:tcPr>
            <w:tcW w:w="7933" w:type="dxa"/>
            <w:gridSpan w:val="5"/>
            <w:tcBorders>
              <w:tl2br w:val="nil"/>
              <w:tr2bl w:val="nil"/>
            </w:tcBorders>
            <w:vAlign w:val="center"/>
          </w:tcPr>
          <w:p w14:paraId="76F8EF6E">
            <w:pPr>
              <w:keepNext w:val="0"/>
              <w:keepLines w:val="0"/>
              <w:pageBreakBefore w:val="0"/>
              <w:widowControl w:val="0"/>
              <w:kinsoku/>
              <w:overflowPunct/>
              <w:topLinePunct w:val="0"/>
              <w:bidi w:val="0"/>
              <w:jc w:val="center"/>
              <w:textAlignment w:val="center"/>
              <w:rPr>
                <w:rFonts w:ascii="宋体" w:hAnsi="宋体" w:cs="宋体"/>
                <w:b/>
                <w:bCs/>
                <w:snapToGrid w:val="0"/>
                <w:kern w:val="0"/>
                <w:szCs w:val="21"/>
              </w:rPr>
            </w:pPr>
            <w:r>
              <w:rPr>
                <w:rFonts w:hint="eastAsia" w:ascii="宋体" w:hAnsi="宋体" w:cs="宋体"/>
                <w:b/>
                <w:bCs/>
                <w:color w:val="000000"/>
                <w:szCs w:val="21"/>
              </w:rPr>
              <w:t>龙华院区</w:t>
            </w:r>
            <w:r>
              <w:rPr>
                <w:rFonts w:hint="eastAsia" w:ascii="宋体" w:hAnsi="宋体" w:cs="宋体"/>
                <w:b/>
                <w:bCs/>
                <w:snapToGrid w:val="0"/>
                <w:kern w:val="0"/>
                <w:szCs w:val="21"/>
              </w:rPr>
              <w:t>小计</w:t>
            </w:r>
          </w:p>
        </w:tc>
        <w:tc>
          <w:tcPr>
            <w:tcW w:w="1642" w:type="dxa"/>
            <w:tcBorders>
              <w:tl2br w:val="nil"/>
              <w:tr2bl w:val="nil"/>
            </w:tcBorders>
            <w:noWrap/>
            <w:vAlign w:val="center"/>
          </w:tcPr>
          <w:p w14:paraId="4B2376A7">
            <w:pPr>
              <w:keepNext w:val="0"/>
              <w:keepLines w:val="0"/>
              <w:pageBreakBefore w:val="0"/>
              <w:widowControl w:val="0"/>
              <w:kinsoku/>
              <w:overflowPunct/>
              <w:topLinePunct w:val="0"/>
              <w:bidi w:val="0"/>
              <w:jc w:val="center"/>
              <w:textAlignment w:val="center"/>
              <w:rPr>
                <w:rFonts w:ascii="宋体" w:hAnsi="宋体" w:cs="宋体"/>
                <w:b/>
                <w:bCs/>
                <w:color w:val="000000"/>
                <w:szCs w:val="21"/>
              </w:rPr>
            </w:pPr>
          </w:p>
        </w:tc>
      </w:tr>
      <w:tr w14:paraId="6D839927">
        <w:tblPrEx>
          <w:tblBorders>
            <w:top w:val="single" w:color="000000" w:sz="8" w:space="0"/>
            <w:left w:val="single" w:color="000000" w:sz="8" w:space="0"/>
            <w:bottom w:val="single" w:color="000000" w:sz="4"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363" w:hRule="atLeast"/>
          <w:jc w:val="center"/>
        </w:trPr>
        <w:tc>
          <w:tcPr>
            <w:tcW w:w="7933" w:type="dxa"/>
            <w:gridSpan w:val="5"/>
            <w:tcBorders>
              <w:tl2br w:val="nil"/>
              <w:tr2bl w:val="nil"/>
            </w:tcBorders>
            <w:vAlign w:val="center"/>
          </w:tcPr>
          <w:p w14:paraId="250E1C18">
            <w:pPr>
              <w:keepNext w:val="0"/>
              <w:keepLines w:val="0"/>
              <w:pageBreakBefore w:val="0"/>
              <w:widowControl w:val="0"/>
              <w:kinsoku/>
              <w:overflowPunct/>
              <w:topLinePunct w:val="0"/>
              <w:bidi w:val="0"/>
              <w:jc w:val="center"/>
              <w:textAlignment w:val="center"/>
              <w:rPr>
                <w:rFonts w:hint="eastAsia" w:ascii="宋体" w:hAnsi="宋体" w:eastAsia="宋体" w:cs="宋体"/>
                <w:b/>
                <w:bCs/>
                <w:color w:val="000000"/>
                <w:kern w:val="0"/>
                <w:szCs w:val="21"/>
                <w:lang w:eastAsia="zh-CN" w:bidi="ar"/>
              </w:rPr>
            </w:pPr>
            <w:r>
              <w:rPr>
                <w:rFonts w:hint="eastAsia" w:ascii="宋体" w:hAnsi="宋体" w:cs="宋体"/>
                <w:b/>
                <w:bCs/>
                <w:snapToGrid w:val="0"/>
                <w:kern w:val="0"/>
                <w:szCs w:val="21"/>
              </w:rPr>
              <w:t>报价合计</w:t>
            </w:r>
            <w:r>
              <w:rPr>
                <w:rFonts w:hint="eastAsia" w:ascii="宋体" w:hAnsi="宋体" w:cs="宋体"/>
                <w:b/>
                <w:bCs/>
                <w:snapToGrid w:val="0"/>
                <w:kern w:val="0"/>
                <w:szCs w:val="21"/>
                <w:lang w:eastAsia="zh-CN"/>
              </w:rPr>
              <w:t>（</w:t>
            </w:r>
            <w:r>
              <w:rPr>
                <w:rFonts w:hint="eastAsia" w:ascii="宋体" w:hAnsi="宋体" w:cs="宋体"/>
                <w:b/>
                <w:bCs/>
                <w:color w:val="000000"/>
                <w:szCs w:val="21"/>
              </w:rPr>
              <w:t>福田院区</w:t>
            </w:r>
            <w:r>
              <w:rPr>
                <w:rFonts w:hint="eastAsia" w:ascii="宋体" w:hAnsi="宋体" w:cs="宋体"/>
                <w:b/>
                <w:bCs/>
                <w:color w:val="000000"/>
                <w:kern w:val="0"/>
                <w:szCs w:val="21"/>
                <w:lang w:bidi="ar"/>
              </w:rPr>
              <w:t>小计</w:t>
            </w:r>
            <w:r>
              <w:rPr>
                <w:rFonts w:hint="eastAsia" w:ascii="宋体" w:hAnsi="宋体" w:cs="宋体"/>
                <w:b/>
                <w:bCs/>
                <w:color w:val="000000"/>
                <w:kern w:val="0"/>
                <w:szCs w:val="21"/>
                <w:lang w:val="en-US" w:eastAsia="zh-CN" w:bidi="ar"/>
              </w:rPr>
              <w:t>+</w:t>
            </w:r>
            <w:r>
              <w:rPr>
                <w:rFonts w:hint="eastAsia" w:ascii="宋体" w:hAnsi="宋体" w:cs="宋体"/>
                <w:b/>
                <w:bCs/>
                <w:color w:val="000000"/>
                <w:szCs w:val="21"/>
              </w:rPr>
              <w:t>龙华院区</w:t>
            </w:r>
            <w:r>
              <w:rPr>
                <w:rFonts w:hint="eastAsia" w:ascii="宋体" w:hAnsi="宋体" w:cs="宋体"/>
                <w:b/>
                <w:bCs/>
                <w:snapToGrid w:val="0"/>
                <w:kern w:val="0"/>
                <w:szCs w:val="21"/>
              </w:rPr>
              <w:t>小计</w:t>
            </w:r>
            <w:r>
              <w:rPr>
                <w:rFonts w:hint="eastAsia" w:ascii="宋体" w:hAnsi="宋体" w:cs="宋体"/>
                <w:b/>
                <w:bCs/>
                <w:snapToGrid w:val="0"/>
                <w:kern w:val="0"/>
                <w:szCs w:val="21"/>
                <w:lang w:eastAsia="zh-CN"/>
              </w:rPr>
              <w:t>）</w:t>
            </w:r>
          </w:p>
        </w:tc>
        <w:tc>
          <w:tcPr>
            <w:tcW w:w="1642" w:type="dxa"/>
            <w:tcBorders>
              <w:tl2br w:val="nil"/>
              <w:tr2bl w:val="nil"/>
            </w:tcBorders>
            <w:noWrap/>
            <w:vAlign w:val="center"/>
          </w:tcPr>
          <w:p w14:paraId="37753DDB">
            <w:pPr>
              <w:keepNext w:val="0"/>
              <w:keepLines w:val="0"/>
              <w:pageBreakBefore w:val="0"/>
              <w:widowControl w:val="0"/>
              <w:kinsoku/>
              <w:overflowPunct/>
              <w:topLinePunct w:val="0"/>
              <w:bidi w:val="0"/>
              <w:jc w:val="center"/>
              <w:textAlignment w:val="center"/>
              <w:rPr>
                <w:rFonts w:ascii="宋体" w:hAnsi="宋体" w:cs="宋体"/>
                <w:b/>
                <w:bCs/>
                <w:color w:val="000000"/>
                <w:szCs w:val="21"/>
              </w:rPr>
            </w:pPr>
          </w:p>
        </w:tc>
      </w:tr>
    </w:tbl>
    <w:p w14:paraId="016F9A1B">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注：1、本表格</w:t>
      </w:r>
      <w:r>
        <w:rPr>
          <w:rFonts w:hint="eastAsia" w:asciiTheme="minorEastAsia" w:hAnsiTheme="minorEastAsia" w:eastAsiaTheme="minorEastAsia"/>
          <w:bCs/>
          <w:kern w:val="0"/>
          <w:szCs w:val="21"/>
          <w:lang w:val="en-US" w:eastAsia="zh-CN"/>
        </w:rPr>
        <w:t>为固定格式</w:t>
      </w:r>
      <w:r>
        <w:rPr>
          <w:rFonts w:hint="eastAsia" w:asciiTheme="minorEastAsia" w:hAnsiTheme="minorEastAsia" w:eastAsiaTheme="minorEastAsia"/>
          <w:bCs/>
          <w:kern w:val="0"/>
          <w:szCs w:val="21"/>
        </w:rPr>
        <w:t>，</w:t>
      </w:r>
      <w:r>
        <w:rPr>
          <w:rFonts w:hint="eastAsia" w:asciiTheme="minorEastAsia" w:hAnsiTheme="minorEastAsia" w:eastAsiaTheme="minorEastAsia"/>
          <w:bCs/>
          <w:kern w:val="0"/>
          <w:szCs w:val="21"/>
          <w:lang w:val="en-US" w:eastAsia="zh-CN"/>
        </w:rPr>
        <w:t>不允许</w:t>
      </w:r>
      <w:r>
        <w:rPr>
          <w:rFonts w:hint="eastAsia" w:asciiTheme="minorEastAsia" w:hAnsiTheme="minorEastAsia" w:eastAsiaTheme="minorEastAsia"/>
          <w:bCs/>
          <w:kern w:val="0"/>
          <w:szCs w:val="21"/>
        </w:rPr>
        <w:t>供应商对各分项内容进行调整。</w:t>
      </w:r>
    </w:p>
    <w:p w14:paraId="7B917767">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2、投标总价应为以上各分项价格之和。</w:t>
      </w:r>
    </w:p>
    <w:p w14:paraId="60C5A50A">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3、开标一览表的投标总价必须与以上分项报价清单的</w:t>
      </w:r>
      <w:r>
        <w:rPr>
          <w:rFonts w:hint="eastAsia" w:asciiTheme="minorEastAsia" w:hAnsiTheme="minorEastAsia" w:eastAsiaTheme="minorEastAsia"/>
          <w:bCs/>
          <w:kern w:val="0"/>
          <w:szCs w:val="21"/>
          <w:lang w:val="en-US" w:eastAsia="zh-CN"/>
        </w:rPr>
        <w:t>报价合计</w:t>
      </w:r>
      <w:r>
        <w:rPr>
          <w:rFonts w:hint="eastAsia" w:asciiTheme="minorEastAsia" w:hAnsiTheme="minorEastAsia" w:eastAsiaTheme="minorEastAsia"/>
          <w:bCs/>
          <w:kern w:val="0"/>
          <w:szCs w:val="21"/>
        </w:rPr>
        <w:t>一致。</w:t>
      </w:r>
    </w:p>
    <w:p w14:paraId="4EE4E69D">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4、</w:t>
      </w:r>
      <w:r>
        <w:rPr>
          <w:rFonts w:hint="eastAsia" w:ascii="宋体" w:hAnsi="宋体"/>
          <w:szCs w:val="21"/>
        </w:rPr>
        <w:t>根据《中华人民共和国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33E6802">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p>
    <w:p w14:paraId="1F761FCA">
      <w:pPr>
        <w:keepNext w:val="0"/>
        <w:keepLines w:val="0"/>
        <w:pageBreakBefore w:val="0"/>
        <w:widowControl w:val="0"/>
        <w:kinsoku/>
        <w:overflowPunct/>
        <w:topLinePunct w:val="0"/>
        <w:bidi w:val="0"/>
        <w:spacing w:after="156" w:afterLines="50"/>
        <w:jc w:val="center"/>
        <w:rPr>
          <w:rFonts w:ascii="黑体" w:hAnsi="宋体" w:eastAsia="黑体"/>
          <w:bCs/>
          <w:kern w:val="0"/>
          <w:sz w:val="24"/>
          <w:szCs w:val="24"/>
        </w:rPr>
      </w:pPr>
      <w:r>
        <w:rPr>
          <w:rFonts w:hint="eastAsia" w:ascii="黑体" w:hAnsi="宋体" w:eastAsia="黑体"/>
          <w:bCs/>
          <w:kern w:val="0"/>
          <w:sz w:val="24"/>
          <w:szCs w:val="24"/>
        </w:rPr>
        <w:t>十、服务要求偏离表</w:t>
      </w:r>
    </w:p>
    <w:tbl>
      <w:tblPr>
        <w:tblStyle w:val="4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2268"/>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1" w:type="dxa"/>
            <w:vAlign w:val="center"/>
          </w:tcPr>
          <w:p w14:paraId="1163D8B5">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序号</w:t>
            </w:r>
          </w:p>
        </w:tc>
        <w:tc>
          <w:tcPr>
            <w:tcW w:w="2268" w:type="dxa"/>
            <w:vAlign w:val="center"/>
          </w:tcPr>
          <w:p w14:paraId="643ECCDD">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招标文件服务要求</w:t>
            </w:r>
          </w:p>
        </w:tc>
        <w:tc>
          <w:tcPr>
            <w:tcW w:w="2268" w:type="dxa"/>
            <w:vAlign w:val="center"/>
          </w:tcPr>
          <w:p w14:paraId="4E5E7328">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投标文件服务响应</w:t>
            </w:r>
          </w:p>
        </w:tc>
        <w:tc>
          <w:tcPr>
            <w:tcW w:w="1276" w:type="dxa"/>
            <w:vAlign w:val="center"/>
          </w:tcPr>
          <w:p w14:paraId="2D462C19">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偏离情况</w:t>
            </w:r>
          </w:p>
        </w:tc>
        <w:tc>
          <w:tcPr>
            <w:tcW w:w="2551" w:type="dxa"/>
            <w:vAlign w:val="center"/>
          </w:tcPr>
          <w:p w14:paraId="1B14A8CA">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51" w:type="dxa"/>
          </w:tcPr>
          <w:p w14:paraId="4F94DB77">
            <w:pPr>
              <w:keepNext w:val="0"/>
              <w:keepLines w:val="0"/>
              <w:pageBreakBefore w:val="0"/>
              <w:widowControl w:val="0"/>
              <w:kinsoku/>
              <w:overflowPunct/>
              <w:topLinePunct w:val="0"/>
              <w:bidi w:val="0"/>
              <w:rPr>
                <w:sz w:val="24"/>
              </w:rPr>
            </w:pPr>
          </w:p>
        </w:tc>
        <w:tc>
          <w:tcPr>
            <w:tcW w:w="2268" w:type="dxa"/>
          </w:tcPr>
          <w:p w14:paraId="2D6F5697">
            <w:pPr>
              <w:keepNext w:val="0"/>
              <w:keepLines w:val="0"/>
              <w:pageBreakBefore w:val="0"/>
              <w:widowControl w:val="0"/>
              <w:kinsoku/>
              <w:overflowPunct/>
              <w:topLinePunct w:val="0"/>
              <w:bidi w:val="0"/>
              <w:rPr>
                <w:sz w:val="24"/>
              </w:rPr>
            </w:pPr>
          </w:p>
        </w:tc>
        <w:tc>
          <w:tcPr>
            <w:tcW w:w="2268" w:type="dxa"/>
          </w:tcPr>
          <w:p w14:paraId="6B23C05C">
            <w:pPr>
              <w:keepNext w:val="0"/>
              <w:keepLines w:val="0"/>
              <w:pageBreakBefore w:val="0"/>
              <w:widowControl w:val="0"/>
              <w:kinsoku/>
              <w:overflowPunct/>
              <w:topLinePunct w:val="0"/>
              <w:bidi w:val="0"/>
              <w:rPr>
                <w:sz w:val="24"/>
              </w:rPr>
            </w:pPr>
          </w:p>
        </w:tc>
        <w:tc>
          <w:tcPr>
            <w:tcW w:w="1276" w:type="dxa"/>
          </w:tcPr>
          <w:p w14:paraId="24773EA1">
            <w:pPr>
              <w:keepNext w:val="0"/>
              <w:keepLines w:val="0"/>
              <w:pageBreakBefore w:val="0"/>
              <w:widowControl w:val="0"/>
              <w:kinsoku/>
              <w:overflowPunct/>
              <w:topLinePunct w:val="0"/>
              <w:bidi w:val="0"/>
              <w:rPr>
                <w:sz w:val="24"/>
              </w:rPr>
            </w:pPr>
          </w:p>
        </w:tc>
        <w:tc>
          <w:tcPr>
            <w:tcW w:w="2551" w:type="dxa"/>
          </w:tcPr>
          <w:p w14:paraId="1CEBFEFB">
            <w:pPr>
              <w:keepNext w:val="0"/>
              <w:keepLines w:val="0"/>
              <w:pageBreakBefore w:val="0"/>
              <w:widowControl w:val="0"/>
              <w:kinsoku/>
              <w:overflowPunct/>
              <w:topLinePunct w:val="0"/>
              <w:bidi w:val="0"/>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51" w:type="dxa"/>
          </w:tcPr>
          <w:p w14:paraId="554C8C59">
            <w:pPr>
              <w:keepNext w:val="0"/>
              <w:keepLines w:val="0"/>
              <w:pageBreakBefore w:val="0"/>
              <w:widowControl w:val="0"/>
              <w:kinsoku/>
              <w:overflowPunct/>
              <w:topLinePunct w:val="0"/>
              <w:bidi w:val="0"/>
              <w:rPr>
                <w:sz w:val="24"/>
              </w:rPr>
            </w:pPr>
          </w:p>
        </w:tc>
        <w:tc>
          <w:tcPr>
            <w:tcW w:w="2268" w:type="dxa"/>
          </w:tcPr>
          <w:p w14:paraId="4698460F">
            <w:pPr>
              <w:keepNext w:val="0"/>
              <w:keepLines w:val="0"/>
              <w:pageBreakBefore w:val="0"/>
              <w:widowControl w:val="0"/>
              <w:kinsoku/>
              <w:overflowPunct/>
              <w:topLinePunct w:val="0"/>
              <w:bidi w:val="0"/>
              <w:rPr>
                <w:sz w:val="24"/>
              </w:rPr>
            </w:pPr>
          </w:p>
        </w:tc>
        <w:tc>
          <w:tcPr>
            <w:tcW w:w="2268" w:type="dxa"/>
          </w:tcPr>
          <w:p w14:paraId="7E6B6D52">
            <w:pPr>
              <w:keepNext w:val="0"/>
              <w:keepLines w:val="0"/>
              <w:pageBreakBefore w:val="0"/>
              <w:widowControl w:val="0"/>
              <w:kinsoku/>
              <w:overflowPunct/>
              <w:topLinePunct w:val="0"/>
              <w:bidi w:val="0"/>
              <w:rPr>
                <w:sz w:val="24"/>
              </w:rPr>
            </w:pPr>
          </w:p>
        </w:tc>
        <w:tc>
          <w:tcPr>
            <w:tcW w:w="1276" w:type="dxa"/>
          </w:tcPr>
          <w:p w14:paraId="3C7E3B1F">
            <w:pPr>
              <w:keepNext w:val="0"/>
              <w:keepLines w:val="0"/>
              <w:pageBreakBefore w:val="0"/>
              <w:widowControl w:val="0"/>
              <w:kinsoku/>
              <w:overflowPunct/>
              <w:topLinePunct w:val="0"/>
              <w:bidi w:val="0"/>
              <w:rPr>
                <w:sz w:val="24"/>
              </w:rPr>
            </w:pPr>
          </w:p>
        </w:tc>
        <w:tc>
          <w:tcPr>
            <w:tcW w:w="2551" w:type="dxa"/>
          </w:tcPr>
          <w:p w14:paraId="3D15A4CD">
            <w:pPr>
              <w:keepNext w:val="0"/>
              <w:keepLines w:val="0"/>
              <w:pageBreakBefore w:val="0"/>
              <w:widowControl w:val="0"/>
              <w:kinsoku/>
              <w:overflowPunct/>
              <w:topLinePunct w:val="0"/>
              <w:bidi w:val="0"/>
              <w:rPr>
                <w:sz w:val="24"/>
              </w:rPr>
            </w:pPr>
          </w:p>
        </w:tc>
      </w:tr>
    </w:tbl>
    <w:p w14:paraId="481C6867">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备注：</w:t>
      </w:r>
    </w:p>
    <w:p w14:paraId="4C407108">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asciiTheme="minorEastAsia" w:hAnsiTheme="minorEastAsia" w:eastAsiaTheme="minorEastAsia"/>
          <w:bCs/>
          <w:kern w:val="0"/>
          <w:szCs w:val="21"/>
        </w:rPr>
        <w:t>1</w:t>
      </w: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“招标文件服务要求”一栏填写招标文件第二章“招标项目需求”</w:t>
      </w:r>
      <w:r>
        <w:rPr>
          <w:rFonts w:asciiTheme="minorEastAsia" w:hAnsiTheme="minorEastAsia" w:eastAsiaTheme="minorEastAsia"/>
          <w:b/>
          <w:bCs/>
          <w:kern w:val="0"/>
          <w:szCs w:val="21"/>
          <w:highlight w:val="yellow"/>
        </w:rPr>
        <w:t>“</w:t>
      </w:r>
      <w:r>
        <w:rPr>
          <w:rFonts w:hint="eastAsia" w:asciiTheme="minorEastAsia" w:hAnsiTheme="minorEastAsia" w:eastAsiaTheme="minorEastAsia"/>
          <w:b/>
          <w:bCs/>
          <w:kern w:val="0"/>
          <w:szCs w:val="21"/>
          <w:highlight w:val="yellow"/>
        </w:rPr>
        <w:t>四、项目</w:t>
      </w:r>
      <w:r>
        <w:rPr>
          <w:rFonts w:asciiTheme="minorEastAsia" w:hAnsiTheme="minorEastAsia" w:eastAsiaTheme="minorEastAsia"/>
          <w:b/>
          <w:bCs/>
          <w:kern w:val="0"/>
          <w:szCs w:val="21"/>
          <w:highlight w:val="yellow"/>
        </w:rPr>
        <w:t>服务</w:t>
      </w:r>
      <w:r>
        <w:rPr>
          <w:rFonts w:hint="eastAsia" w:asciiTheme="minorEastAsia" w:hAnsiTheme="minorEastAsia" w:eastAsiaTheme="minorEastAsia"/>
          <w:b/>
          <w:bCs/>
          <w:kern w:val="0"/>
          <w:szCs w:val="21"/>
          <w:highlight w:val="yellow"/>
        </w:rPr>
        <w:t>要求</w:t>
      </w:r>
      <w:r>
        <w:rPr>
          <w:rFonts w:asciiTheme="minorEastAsia" w:hAnsiTheme="minorEastAsia" w:eastAsiaTheme="minorEastAsia"/>
          <w:b/>
          <w:bCs/>
          <w:kern w:val="0"/>
          <w:szCs w:val="21"/>
          <w:highlight w:val="yellow"/>
        </w:rPr>
        <w:t>”</w:t>
      </w:r>
      <w:r>
        <w:rPr>
          <w:rFonts w:asciiTheme="minorEastAsia" w:hAnsiTheme="minorEastAsia" w:eastAsiaTheme="minorEastAsia"/>
          <w:bCs/>
          <w:kern w:val="0"/>
          <w:szCs w:val="21"/>
        </w:rPr>
        <w:t>的内容。</w:t>
      </w:r>
    </w:p>
    <w:p w14:paraId="4795A060">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asciiTheme="minorEastAsia" w:hAnsiTheme="minorEastAsia" w:eastAsiaTheme="minorEastAsia"/>
          <w:bCs/>
          <w:kern w:val="0"/>
          <w:szCs w:val="21"/>
        </w:rPr>
        <w:t>2</w:t>
      </w: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“投标文件服务</w:t>
      </w:r>
      <w:r>
        <w:rPr>
          <w:rFonts w:hint="eastAsia" w:asciiTheme="minorEastAsia" w:hAnsiTheme="minorEastAsia" w:eastAsiaTheme="minorEastAsia"/>
          <w:bCs/>
          <w:kern w:val="0"/>
          <w:szCs w:val="21"/>
        </w:rPr>
        <w:t>响应</w:t>
      </w:r>
      <w:r>
        <w:rPr>
          <w:rFonts w:asciiTheme="minorEastAsia" w:hAnsiTheme="minorEastAsia" w:eastAsiaTheme="minorEastAsia"/>
          <w:bCs/>
          <w:kern w:val="0"/>
          <w:szCs w:val="21"/>
        </w:rPr>
        <w:t>”一栏详细填写响应情况，并应对照</w:t>
      </w:r>
      <w:r>
        <w:rPr>
          <w:rFonts w:hint="eastAsia" w:asciiTheme="minorEastAsia" w:hAnsiTheme="minorEastAsia" w:eastAsiaTheme="minorEastAsia"/>
          <w:bCs/>
          <w:kern w:val="0"/>
          <w:szCs w:val="21"/>
        </w:rPr>
        <w:t>招</w:t>
      </w:r>
      <w:r>
        <w:rPr>
          <w:rFonts w:asciiTheme="minorEastAsia" w:hAnsiTheme="minorEastAsia" w:eastAsiaTheme="minorEastAsia"/>
          <w:bCs/>
          <w:kern w:val="0"/>
          <w:szCs w:val="21"/>
        </w:rPr>
        <w:t>标文件</w:t>
      </w:r>
      <w:r>
        <w:rPr>
          <w:rFonts w:hint="eastAsia" w:asciiTheme="minorEastAsia" w:hAnsiTheme="minorEastAsia" w:eastAsiaTheme="minorEastAsia"/>
          <w:bCs/>
          <w:kern w:val="0"/>
          <w:szCs w:val="21"/>
        </w:rPr>
        <w:t>服务</w:t>
      </w:r>
      <w:r>
        <w:rPr>
          <w:rFonts w:asciiTheme="minorEastAsia" w:hAnsiTheme="minorEastAsia" w:eastAsiaTheme="minorEastAsia"/>
          <w:bCs/>
          <w:kern w:val="0"/>
          <w:szCs w:val="21"/>
        </w:rPr>
        <w:t>要求一一对应响应。</w:t>
      </w:r>
    </w:p>
    <w:p w14:paraId="18856264">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asciiTheme="minorEastAsia" w:hAnsiTheme="minorEastAsia" w:eastAsiaTheme="minorEastAsia"/>
          <w:bCs/>
          <w:kern w:val="0"/>
          <w:szCs w:val="21"/>
        </w:rPr>
        <w:t>3</w:t>
      </w: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“偏离情况”一栏应如实填写“正偏离”、“负偏离”或“无偏离”。</w:t>
      </w:r>
    </w:p>
    <w:p w14:paraId="0BB97D25">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4、对于实质性条款，投标文件响应为“负偏离”的，投标文件将作投标无效处理</w:t>
      </w:r>
      <w:r>
        <w:rPr>
          <w:rFonts w:asciiTheme="minorEastAsia" w:hAnsiTheme="minorEastAsia" w:eastAsiaTheme="minorEastAsia"/>
          <w:bCs/>
          <w:kern w:val="0"/>
          <w:szCs w:val="21"/>
        </w:rPr>
        <w:t>。</w:t>
      </w:r>
    </w:p>
    <w:p w14:paraId="48E999F8">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5、如招标文件要求提供证明材料的，投标文件需提供相应证明材料扫描件（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14:paraId="32350FA9">
      <w:pPr>
        <w:keepNext w:val="0"/>
        <w:keepLines w:val="0"/>
        <w:pageBreakBefore w:val="0"/>
        <w:widowControl w:val="0"/>
        <w:kinsoku/>
        <w:overflowPunct/>
        <w:topLinePunct w:val="0"/>
        <w:bidi w:val="0"/>
        <w:spacing w:after="156" w:afterLines="50"/>
        <w:jc w:val="center"/>
        <w:rPr>
          <w:rFonts w:ascii="黑体" w:hAnsi="宋体" w:eastAsia="黑体"/>
          <w:bCs/>
          <w:kern w:val="0"/>
          <w:sz w:val="24"/>
          <w:szCs w:val="24"/>
        </w:rPr>
      </w:pPr>
      <w:r>
        <w:rPr>
          <w:rFonts w:hint="eastAsia" w:ascii="黑体" w:hAnsi="宋体" w:eastAsia="黑体"/>
          <w:bCs/>
          <w:kern w:val="0"/>
          <w:sz w:val="24"/>
          <w:szCs w:val="24"/>
        </w:rPr>
        <w:t>十一、商务要求偏离表</w:t>
      </w:r>
    </w:p>
    <w:tbl>
      <w:tblPr>
        <w:tblStyle w:val="42"/>
        <w:tblW w:w="91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2265"/>
        <w:gridCol w:w="1275"/>
        <w:gridCol w:w="2505"/>
      </w:tblGrid>
      <w:tr w14:paraId="79AD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1" w:type="dxa"/>
            <w:vAlign w:val="center"/>
          </w:tcPr>
          <w:p w14:paraId="50E5A7B9">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序号</w:t>
            </w:r>
          </w:p>
        </w:tc>
        <w:tc>
          <w:tcPr>
            <w:tcW w:w="2268" w:type="dxa"/>
            <w:vAlign w:val="center"/>
          </w:tcPr>
          <w:p w14:paraId="7AF764F6">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招标文件商务要求</w:t>
            </w:r>
          </w:p>
        </w:tc>
        <w:tc>
          <w:tcPr>
            <w:tcW w:w="2265" w:type="dxa"/>
            <w:vAlign w:val="center"/>
          </w:tcPr>
          <w:p w14:paraId="42F0B6E4">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投标文件商务响应</w:t>
            </w:r>
          </w:p>
        </w:tc>
        <w:tc>
          <w:tcPr>
            <w:tcW w:w="1275" w:type="dxa"/>
            <w:vAlign w:val="center"/>
          </w:tcPr>
          <w:p w14:paraId="62AFABD0">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偏离情况</w:t>
            </w:r>
          </w:p>
        </w:tc>
        <w:tc>
          <w:tcPr>
            <w:tcW w:w="2505" w:type="dxa"/>
            <w:vAlign w:val="center"/>
          </w:tcPr>
          <w:p w14:paraId="18755FA9">
            <w:pPr>
              <w:keepNext w:val="0"/>
              <w:keepLines w:val="0"/>
              <w:pageBreakBefore w:val="0"/>
              <w:widowControl w:val="0"/>
              <w:kinsoku/>
              <w:overflowPunct/>
              <w:topLinePunct w:val="0"/>
              <w:bidi w:val="0"/>
              <w:jc w:val="center"/>
              <w:rPr>
                <w:rFonts w:ascii="宋体" w:hAnsi="宋体"/>
                <w:szCs w:val="21"/>
              </w:rPr>
            </w:pPr>
            <w:r>
              <w:rPr>
                <w:rFonts w:hint="eastAsia" w:ascii="宋体" w:hAnsi="宋体"/>
                <w:szCs w:val="21"/>
              </w:rPr>
              <w:t>说明</w:t>
            </w:r>
          </w:p>
        </w:tc>
      </w:tr>
      <w:tr w14:paraId="311F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51" w:type="dxa"/>
          </w:tcPr>
          <w:p w14:paraId="00EEF4A7">
            <w:pPr>
              <w:keepNext w:val="0"/>
              <w:keepLines w:val="0"/>
              <w:pageBreakBefore w:val="0"/>
              <w:widowControl w:val="0"/>
              <w:kinsoku/>
              <w:overflowPunct/>
              <w:topLinePunct w:val="0"/>
              <w:bidi w:val="0"/>
              <w:rPr>
                <w:sz w:val="24"/>
              </w:rPr>
            </w:pPr>
          </w:p>
        </w:tc>
        <w:tc>
          <w:tcPr>
            <w:tcW w:w="2268" w:type="dxa"/>
          </w:tcPr>
          <w:p w14:paraId="03CB5AC6">
            <w:pPr>
              <w:keepNext w:val="0"/>
              <w:keepLines w:val="0"/>
              <w:pageBreakBefore w:val="0"/>
              <w:widowControl w:val="0"/>
              <w:kinsoku/>
              <w:overflowPunct/>
              <w:topLinePunct w:val="0"/>
              <w:bidi w:val="0"/>
              <w:rPr>
                <w:sz w:val="24"/>
              </w:rPr>
            </w:pPr>
          </w:p>
        </w:tc>
        <w:tc>
          <w:tcPr>
            <w:tcW w:w="2265" w:type="dxa"/>
          </w:tcPr>
          <w:p w14:paraId="629C5896">
            <w:pPr>
              <w:keepNext w:val="0"/>
              <w:keepLines w:val="0"/>
              <w:pageBreakBefore w:val="0"/>
              <w:widowControl w:val="0"/>
              <w:kinsoku/>
              <w:overflowPunct/>
              <w:topLinePunct w:val="0"/>
              <w:bidi w:val="0"/>
              <w:rPr>
                <w:sz w:val="24"/>
              </w:rPr>
            </w:pPr>
          </w:p>
        </w:tc>
        <w:tc>
          <w:tcPr>
            <w:tcW w:w="1275" w:type="dxa"/>
          </w:tcPr>
          <w:p w14:paraId="2A0C28EE">
            <w:pPr>
              <w:keepNext w:val="0"/>
              <w:keepLines w:val="0"/>
              <w:pageBreakBefore w:val="0"/>
              <w:widowControl w:val="0"/>
              <w:kinsoku/>
              <w:overflowPunct/>
              <w:topLinePunct w:val="0"/>
              <w:bidi w:val="0"/>
              <w:rPr>
                <w:sz w:val="24"/>
              </w:rPr>
            </w:pPr>
          </w:p>
        </w:tc>
        <w:tc>
          <w:tcPr>
            <w:tcW w:w="2505" w:type="dxa"/>
          </w:tcPr>
          <w:p w14:paraId="00CC59FA">
            <w:pPr>
              <w:keepNext w:val="0"/>
              <w:keepLines w:val="0"/>
              <w:pageBreakBefore w:val="0"/>
              <w:widowControl w:val="0"/>
              <w:kinsoku/>
              <w:overflowPunct/>
              <w:topLinePunct w:val="0"/>
              <w:bidi w:val="0"/>
              <w:rPr>
                <w:sz w:val="24"/>
              </w:rPr>
            </w:pPr>
            <w:r>
              <w:rPr>
                <w:rFonts w:hint="eastAsia"/>
                <w:szCs w:val="21"/>
              </w:rPr>
              <w:t>如需附证明文件，应在“说明”栏填写证明文件对应名称和页码。</w:t>
            </w:r>
          </w:p>
        </w:tc>
      </w:tr>
      <w:tr w14:paraId="7A13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51" w:type="dxa"/>
          </w:tcPr>
          <w:p w14:paraId="57EF8A31">
            <w:pPr>
              <w:keepNext w:val="0"/>
              <w:keepLines w:val="0"/>
              <w:pageBreakBefore w:val="0"/>
              <w:widowControl w:val="0"/>
              <w:kinsoku/>
              <w:overflowPunct/>
              <w:topLinePunct w:val="0"/>
              <w:bidi w:val="0"/>
              <w:rPr>
                <w:sz w:val="24"/>
              </w:rPr>
            </w:pPr>
          </w:p>
        </w:tc>
        <w:tc>
          <w:tcPr>
            <w:tcW w:w="2268" w:type="dxa"/>
          </w:tcPr>
          <w:p w14:paraId="621CBA5F">
            <w:pPr>
              <w:keepNext w:val="0"/>
              <w:keepLines w:val="0"/>
              <w:pageBreakBefore w:val="0"/>
              <w:widowControl w:val="0"/>
              <w:kinsoku/>
              <w:overflowPunct/>
              <w:topLinePunct w:val="0"/>
              <w:bidi w:val="0"/>
              <w:rPr>
                <w:sz w:val="24"/>
              </w:rPr>
            </w:pPr>
          </w:p>
        </w:tc>
        <w:tc>
          <w:tcPr>
            <w:tcW w:w="2265" w:type="dxa"/>
          </w:tcPr>
          <w:p w14:paraId="4528F0C9">
            <w:pPr>
              <w:keepNext w:val="0"/>
              <w:keepLines w:val="0"/>
              <w:pageBreakBefore w:val="0"/>
              <w:widowControl w:val="0"/>
              <w:kinsoku/>
              <w:overflowPunct/>
              <w:topLinePunct w:val="0"/>
              <w:bidi w:val="0"/>
              <w:rPr>
                <w:sz w:val="24"/>
              </w:rPr>
            </w:pPr>
          </w:p>
        </w:tc>
        <w:tc>
          <w:tcPr>
            <w:tcW w:w="1275" w:type="dxa"/>
          </w:tcPr>
          <w:p w14:paraId="707065F9">
            <w:pPr>
              <w:keepNext w:val="0"/>
              <w:keepLines w:val="0"/>
              <w:pageBreakBefore w:val="0"/>
              <w:widowControl w:val="0"/>
              <w:kinsoku/>
              <w:overflowPunct/>
              <w:topLinePunct w:val="0"/>
              <w:bidi w:val="0"/>
              <w:rPr>
                <w:sz w:val="24"/>
              </w:rPr>
            </w:pPr>
          </w:p>
        </w:tc>
        <w:tc>
          <w:tcPr>
            <w:tcW w:w="2505" w:type="dxa"/>
          </w:tcPr>
          <w:p w14:paraId="0A5347C0">
            <w:pPr>
              <w:keepNext w:val="0"/>
              <w:keepLines w:val="0"/>
              <w:pageBreakBefore w:val="0"/>
              <w:widowControl w:val="0"/>
              <w:kinsoku/>
              <w:overflowPunct/>
              <w:topLinePunct w:val="0"/>
              <w:bidi w:val="0"/>
              <w:rPr>
                <w:sz w:val="24"/>
              </w:rPr>
            </w:pPr>
          </w:p>
        </w:tc>
      </w:tr>
    </w:tbl>
    <w:p w14:paraId="25B83E1D">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备注：</w:t>
      </w:r>
    </w:p>
    <w:p w14:paraId="01BDA369">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1、“招标文件商务服务要求”一栏填写招标文件第二章“招标项目需求”</w:t>
      </w:r>
      <w:r>
        <w:rPr>
          <w:rFonts w:hint="eastAsia" w:asciiTheme="minorEastAsia" w:hAnsiTheme="minorEastAsia" w:eastAsiaTheme="minorEastAsia"/>
          <w:b/>
          <w:bCs/>
          <w:kern w:val="0"/>
          <w:szCs w:val="21"/>
          <w:highlight w:val="yellow"/>
        </w:rPr>
        <w:t>“五、项目商务要求”</w:t>
      </w:r>
      <w:r>
        <w:rPr>
          <w:rFonts w:hint="eastAsia" w:asciiTheme="minorEastAsia" w:hAnsiTheme="minorEastAsia" w:eastAsiaTheme="minorEastAsia"/>
          <w:bCs/>
          <w:kern w:val="0"/>
          <w:szCs w:val="21"/>
        </w:rPr>
        <w:t>的内容</w:t>
      </w:r>
      <w:r>
        <w:rPr>
          <w:rFonts w:asciiTheme="minorEastAsia" w:hAnsiTheme="minorEastAsia" w:eastAsiaTheme="minorEastAsia"/>
          <w:bCs/>
          <w:kern w:val="0"/>
          <w:szCs w:val="21"/>
        </w:rPr>
        <w:t>。</w:t>
      </w:r>
    </w:p>
    <w:p w14:paraId="49B8AD4F">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2、“投标文件商务响应”一栏详细填写投标商务条款的内容</w:t>
      </w:r>
      <w:r>
        <w:rPr>
          <w:rFonts w:asciiTheme="minorEastAsia" w:hAnsiTheme="minorEastAsia" w:eastAsiaTheme="minorEastAsia"/>
          <w:bCs/>
          <w:kern w:val="0"/>
          <w:szCs w:val="21"/>
        </w:rPr>
        <w:t>。</w:t>
      </w:r>
    </w:p>
    <w:p w14:paraId="14D39D37">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3、“偏离情况”栏中应如实填写“正偏离”、“负偏离”或“无偏离”</w:t>
      </w:r>
      <w:r>
        <w:rPr>
          <w:rFonts w:asciiTheme="minorEastAsia" w:hAnsiTheme="minorEastAsia" w:eastAsiaTheme="minorEastAsia"/>
          <w:bCs/>
          <w:kern w:val="0"/>
          <w:szCs w:val="21"/>
        </w:rPr>
        <w:t>。</w:t>
      </w:r>
    </w:p>
    <w:p w14:paraId="3EE00CF2">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4、对于实质性条款，投标文件响应为“负偏离”的，投标文件将作投标无效处理</w:t>
      </w:r>
      <w:r>
        <w:rPr>
          <w:rFonts w:asciiTheme="minorEastAsia" w:hAnsiTheme="minorEastAsia" w:eastAsiaTheme="minorEastAsia"/>
          <w:bCs/>
          <w:kern w:val="0"/>
          <w:szCs w:val="21"/>
        </w:rPr>
        <w:t>。</w:t>
      </w:r>
    </w:p>
    <w:p w14:paraId="55E10043">
      <w:pPr>
        <w:keepNext w:val="0"/>
        <w:keepLines w:val="0"/>
        <w:pageBreakBefore w:val="0"/>
        <w:widowControl w:val="0"/>
        <w:tabs>
          <w:tab w:val="left" w:pos="765"/>
        </w:tabs>
        <w:kinsoku/>
        <w:overflowPunct/>
        <w:topLinePunct w:val="0"/>
        <w:bidi w:val="0"/>
        <w:spacing w:line="376" w:lineRule="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5、如招标文件要求提供证明材料的，投标文件需提供相应证明材料扫描件（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14:paraId="475DD7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rPr>
        <w:t>十二、项目服务方案</w:t>
      </w:r>
    </w:p>
    <w:p w14:paraId="2DDF0E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lang w:val="en-US" w:eastAsia="zh-CN"/>
        </w:rPr>
        <w:t>十三、</w:t>
      </w:r>
      <w:r>
        <w:rPr>
          <w:rFonts w:hint="eastAsia" w:ascii="黑体" w:hAnsi="宋体" w:eastAsia="黑体"/>
          <w:bCs/>
          <w:kern w:val="0"/>
          <w:sz w:val="24"/>
          <w:szCs w:val="24"/>
        </w:rPr>
        <w:t>项目重点难点分析、应对措施及相关的合理化建议</w:t>
      </w:r>
    </w:p>
    <w:p w14:paraId="46DAEB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lang w:val="en-US" w:eastAsia="zh-CN"/>
        </w:rPr>
        <w:t>十四、</w:t>
      </w:r>
      <w:r>
        <w:rPr>
          <w:rFonts w:hint="eastAsia" w:ascii="黑体" w:hAnsi="宋体" w:eastAsia="黑体"/>
          <w:bCs/>
          <w:kern w:val="0"/>
          <w:sz w:val="24"/>
          <w:szCs w:val="24"/>
        </w:rPr>
        <w:t>质量保障措施及方案</w:t>
      </w:r>
    </w:p>
    <w:p w14:paraId="31F45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lang w:val="en-US" w:eastAsia="zh-CN"/>
        </w:rPr>
        <w:t>十五、</w:t>
      </w:r>
      <w:r>
        <w:rPr>
          <w:rFonts w:hint="eastAsia" w:ascii="黑体" w:hAnsi="宋体" w:eastAsia="黑体"/>
          <w:bCs/>
          <w:kern w:val="0"/>
          <w:sz w:val="24"/>
          <w:szCs w:val="24"/>
        </w:rPr>
        <w:t>采购需求响应情况</w:t>
      </w:r>
    </w:p>
    <w:p w14:paraId="178E2A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lang w:val="en-US" w:eastAsia="zh-CN"/>
        </w:rPr>
        <w:t>十六、</w:t>
      </w:r>
      <w:r>
        <w:rPr>
          <w:rFonts w:hint="eastAsia" w:ascii="黑体" w:hAnsi="宋体" w:eastAsia="黑体"/>
          <w:bCs/>
          <w:kern w:val="0"/>
          <w:sz w:val="24"/>
          <w:szCs w:val="24"/>
        </w:rPr>
        <w:t>本项目的专用设备配置</w:t>
      </w:r>
    </w:p>
    <w:p w14:paraId="503D1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lang w:val="en-US" w:eastAsia="zh-CN"/>
        </w:rPr>
        <w:t>十七、</w:t>
      </w:r>
      <w:r>
        <w:rPr>
          <w:rFonts w:hint="eastAsia" w:ascii="黑体" w:hAnsi="宋体" w:eastAsia="黑体"/>
          <w:bCs/>
          <w:kern w:val="0"/>
          <w:sz w:val="24"/>
          <w:szCs w:val="24"/>
        </w:rPr>
        <w:t>拟派本项目的服务人数、服务人员素质</w:t>
      </w:r>
    </w:p>
    <w:p w14:paraId="721341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lang w:val="en-US" w:eastAsia="zh-CN"/>
        </w:rPr>
        <w:t>十八、</w:t>
      </w:r>
      <w:r>
        <w:rPr>
          <w:rFonts w:hint="eastAsia" w:ascii="黑体" w:hAnsi="宋体" w:eastAsia="黑体"/>
          <w:bCs/>
          <w:kern w:val="0"/>
          <w:sz w:val="24"/>
          <w:szCs w:val="24"/>
        </w:rPr>
        <w:t>同类项目业绩情况</w:t>
      </w:r>
    </w:p>
    <w:p w14:paraId="672D18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lang w:val="en-US" w:eastAsia="zh-CN"/>
        </w:rPr>
        <w:t>十九、</w:t>
      </w:r>
      <w:r>
        <w:rPr>
          <w:rFonts w:hint="eastAsia" w:ascii="黑体" w:hAnsi="宋体" w:eastAsia="黑体"/>
          <w:bCs/>
          <w:kern w:val="0"/>
          <w:sz w:val="24"/>
          <w:szCs w:val="24"/>
        </w:rPr>
        <w:t>履约评价</w:t>
      </w:r>
    </w:p>
    <w:p w14:paraId="47938A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szCs w:val="24"/>
        </w:rPr>
      </w:pPr>
      <w:r>
        <w:rPr>
          <w:rFonts w:hint="eastAsia" w:ascii="黑体" w:hAnsi="宋体" w:eastAsia="黑体"/>
          <w:bCs/>
          <w:kern w:val="0"/>
          <w:sz w:val="24"/>
          <w:szCs w:val="24"/>
          <w:lang w:val="en-US" w:eastAsia="zh-CN"/>
        </w:rPr>
        <w:t>二十、</w:t>
      </w:r>
      <w:r>
        <w:rPr>
          <w:rFonts w:hint="eastAsia" w:ascii="黑体" w:hAnsi="宋体" w:eastAsia="黑体"/>
          <w:bCs/>
          <w:kern w:val="0"/>
          <w:sz w:val="24"/>
          <w:szCs w:val="24"/>
        </w:rPr>
        <w:t>诚信评审</w:t>
      </w:r>
    </w:p>
    <w:p w14:paraId="2C1018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bCs/>
          <w:kern w:val="0"/>
          <w:sz w:val="24"/>
          <w:szCs w:val="20"/>
        </w:rPr>
      </w:pPr>
      <w:r>
        <w:rPr>
          <w:rFonts w:hint="eastAsia" w:ascii="黑体" w:hAnsi="宋体" w:eastAsia="黑体"/>
          <w:bCs/>
          <w:kern w:val="0"/>
          <w:sz w:val="24"/>
          <w:szCs w:val="24"/>
          <w:lang w:val="en-US" w:eastAsia="zh-CN"/>
        </w:rPr>
        <w:t>二十一</w:t>
      </w:r>
      <w:r>
        <w:rPr>
          <w:rFonts w:hint="eastAsia" w:ascii="黑体" w:hAnsi="宋体" w:eastAsia="黑体"/>
          <w:bCs/>
          <w:kern w:val="0"/>
          <w:sz w:val="24"/>
          <w:szCs w:val="24"/>
        </w:rPr>
        <w:t>、招标文件要求的其它内容或投标人认为需要补充的资料（格式自定）</w:t>
      </w:r>
      <w:r>
        <w:rPr>
          <w:rFonts w:ascii="宋体" w:hAnsi="宋体"/>
          <w:b/>
          <w:bCs/>
          <w:kern w:val="0"/>
          <w:sz w:val="24"/>
          <w:szCs w:val="20"/>
        </w:rPr>
        <w:br w:type="page"/>
      </w:r>
    </w:p>
    <w:p w14:paraId="08129F67">
      <w:pPr>
        <w:jc w:val="center"/>
        <w:rPr>
          <w:rFonts w:ascii="宋体" w:hAnsi="宋体"/>
          <w:b/>
          <w:bCs/>
          <w:kern w:val="0"/>
          <w:sz w:val="24"/>
          <w:szCs w:val="20"/>
        </w:rPr>
      </w:pPr>
      <w:r>
        <w:rPr>
          <w:rFonts w:hint="eastAsia" w:ascii="宋体" w:hAnsi="宋体"/>
          <w:b/>
          <w:bCs/>
          <w:kern w:val="0"/>
          <w:sz w:val="24"/>
          <w:szCs w:val="20"/>
        </w:rPr>
        <w:t>第四章  合同及履约情况反馈格式</w:t>
      </w:r>
    </w:p>
    <w:p w14:paraId="7318CE04">
      <w:pPr>
        <w:ind w:firstLine="411" w:firstLineChars="196"/>
        <w:rPr>
          <w:rFonts w:ascii="Times New Roman" w:hAnsi="Times New Roman"/>
          <w:szCs w:val="24"/>
        </w:rPr>
      </w:pPr>
    </w:p>
    <w:p w14:paraId="243AB8E6">
      <w:pPr>
        <w:keepNext/>
        <w:keepLines/>
        <w:spacing w:before="260" w:after="260"/>
        <w:jc w:val="center"/>
        <w:outlineLvl w:val="2"/>
        <w:rPr>
          <w:rFonts w:ascii="黑体" w:hAnsi="宋体" w:eastAsia="黑体"/>
          <w:bCs/>
          <w:kern w:val="0"/>
          <w:sz w:val="24"/>
          <w:szCs w:val="24"/>
        </w:rPr>
      </w:pPr>
      <w:r>
        <w:rPr>
          <w:rFonts w:hint="eastAsia" w:ascii="黑体" w:hAnsi="宋体" w:eastAsia="黑体"/>
          <w:bCs/>
          <w:kern w:val="0"/>
          <w:sz w:val="24"/>
          <w:szCs w:val="24"/>
        </w:rPr>
        <w:t>一、合同条款及格式（</w:t>
      </w:r>
      <w:r>
        <w:rPr>
          <w:rFonts w:hint="eastAsia" w:ascii="黑体" w:eastAsia="黑体"/>
          <w:kern w:val="0"/>
          <w:sz w:val="24"/>
          <w:szCs w:val="24"/>
        </w:rPr>
        <w:t>仅供参考</w:t>
      </w:r>
      <w:r>
        <w:rPr>
          <w:rFonts w:hint="eastAsia" w:ascii="黑体" w:hAnsi="宋体" w:eastAsia="黑体"/>
          <w:bCs/>
          <w:kern w:val="0"/>
          <w:sz w:val="24"/>
          <w:szCs w:val="24"/>
        </w:rPr>
        <w:t>）</w:t>
      </w:r>
    </w:p>
    <w:p w14:paraId="5EA205C0">
      <w:pPr>
        <w:ind w:firstLine="470" w:firstLineChars="196"/>
        <w:jc w:val="center"/>
        <w:rPr>
          <w:rFonts w:ascii="Times New Roman" w:hAnsi="Times New Roman"/>
          <w:sz w:val="24"/>
          <w:szCs w:val="24"/>
        </w:rPr>
      </w:pPr>
      <w:bookmarkStart w:id="20" w:name="_Toc101074886"/>
      <w:bookmarkStart w:id="21" w:name="_Toc73518163"/>
      <w:bookmarkStart w:id="22" w:name="_Toc73521680"/>
      <w:bookmarkStart w:id="23" w:name="_Toc73521592"/>
      <w:bookmarkStart w:id="24" w:name="_Toc73517685"/>
      <w:bookmarkStart w:id="25" w:name="_Toc100052414"/>
      <w:bookmarkStart w:id="26" w:name="_Toc84303603"/>
    </w:p>
    <w:p w14:paraId="0C3E97E1">
      <w:pPr>
        <w:ind w:firstLine="470" w:firstLineChars="196"/>
        <w:jc w:val="center"/>
        <w:rPr>
          <w:rFonts w:ascii="Times New Roman" w:hAnsi="Times New Roman"/>
          <w:sz w:val="24"/>
          <w:szCs w:val="24"/>
        </w:rPr>
      </w:pPr>
    </w:p>
    <w:bookmarkEnd w:id="20"/>
    <w:bookmarkEnd w:id="21"/>
    <w:bookmarkEnd w:id="22"/>
    <w:bookmarkEnd w:id="23"/>
    <w:bookmarkEnd w:id="24"/>
    <w:bookmarkEnd w:id="25"/>
    <w:bookmarkEnd w:id="26"/>
    <w:p w14:paraId="0D6FB2FD">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AA700F0">
      <w:pPr>
        <w:pStyle w:val="23"/>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53A0765">
      <w:pPr>
        <w:adjustRightInd w:val="0"/>
        <w:snapToGrid w:val="0"/>
        <w:spacing w:line="360" w:lineRule="auto"/>
        <w:ind w:firstLine="422" w:firstLineChars="200"/>
        <w:rPr>
          <w:rFonts w:ascii="宋体" w:hAnsi="宋体"/>
          <w:b/>
          <w:bCs/>
          <w:szCs w:val="21"/>
        </w:rPr>
      </w:pPr>
    </w:p>
    <w:p w14:paraId="683F3614">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60B51857">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2DD99946">
      <w:pPr>
        <w:adjustRightInd w:val="0"/>
        <w:snapToGrid w:val="0"/>
        <w:spacing w:line="360" w:lineRule="auto"/>
        <w:rPr>
          <w:rFonts w:ascii="宋体" w:hAnsi="宋体"/>
          <w:szCs w:val="21"/>
        </w:rPr>
      </w:pPr>
    </w:p>
    <w:p w14:paraId="334312BB">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根据《中华人民共和国政府采购法》、《深圳经济特区政府采购条例》、《中华人民共和国民法典》之规定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2CCDF79">
      <w:pPr>
        <w:pStyle w:val="23"/>
        <w:snapToGrid w:val="0"/>
        <w:spacing w:line="360" w:lineRule="auto"/>
        <w:ind w:firstLine="422" w:firstLineChars="200"/>
        <w:rPr>
          <w:rFonts w:hAnsi="宋体"/>
          <w:b/>
          <w:sz w:val="21"/>
          <w:szCs w:val="21"/>
        </w:rPr>
      </w:pPr>
      <w:r>
        <w:rPr>
          <w:rFonts w:hint="eastAsia" w:hAnsi="宋体"/>
          <w:b/>
          <w:sz w:val="21"/>
          <w:szCs w:val="21"/>
        </w:rPr>
        <w:t>一、服务内容</w:t>
      </w:r>
    </w:p>
    <w:p w14:paraId="373013C2">
      <w:pPr>
        <w:spacing w:line="360" w:lineRule="auto"/>
        <w:ind w:firstLine="422" w:firstLineChars="201"/>
        <w:rPr>
          <w:rFonts w:ascii="宋体" w:hAnsi="宋体"/>
          <w:szCs w:val="21"/>
        </w:rPr>
      </w:pPr>
      <w:r>
        <w:rPr>
          <w:rFonts w:hint="eastAsia" w:ascii="宋体" w:hAnsi="宋体"/>
          <w:szCs w:val="21"/>
        </w:rPr>
        <w:t>______________________</w:t>
      </w:r>
    </w:p>
    <w:p w14:paraId="5F5BE3F7">
      <w:pPr>
        <w:pStyle w:val="23"/>
        <w:snapToGrid w:val="0"/>
        <w:spacing w:line="360" w:lineRule="auto"/>
        <w:ind w:firstLine="422" w:firstLineChars="200"/>
        <w:rPr>
          <w:rFonts w:hAnsi="宋体"/>
          <w:b/>
          <w:sz w:val="21"/>
          <w:szCs w:val="21"/>
        </w:rPr>
      </w:pPr>
      <w:r>
        <w:rPr>
          <w:rFonts w:hint="eastAsia" w:hAnsi="宋体"/>
          <w:b/>
          <w:sz w:val="21"/>
          <w:szCs w:val="21"/>
        </w:rPr>
        <w:t>二、合同金额</w:t>
      </w:r>
    </w:p>
    <w:p w14:paraId="7E5FEB5E">
      <w:pPr>
        <w:pStyle w:val="23"/>
        <w:snapToGrid w:val="0"/>
        <w:spacing w:line="360" w:lineRule="auto"/>
        <w:ind w:firstLine="420" w:firstLineChars="200"/>
        <w:rPr>
          <w:rFonts w:hAnsi="宋体"/>
          <w:sz w:val="21"/>
          <w:szCs w:val="21"/>
        </w:rPr>
      </w:pPr>
      <w:r>
        <w:rPr>
          <w:rFonts w:hint="eastAsia" w:hAnsi="宋体"/>
          <w:sz w:val="21"/>
          <w:szCs w:val="21"/>
        </w:rPr>
        <w:t>本合同金额为（大写）：____________________________________元（￥_______________元）人民币。</w:t>
      </w:r>
    </w:p>
    <w:p w14:paraId="0975DF32">
      <w:pPr>
        <w:pStyle w:val="23"/>
        <w:snapToGrid w:val="0"/>
        <w:spacing w:line="360" w:lineRule="auto"/>
        <w:ind w:firstLine="422" w:firstLineChars="200"/>
        <w:rPr>
          <w:rFonts w:hAnsi="宋体"/>
          <w:b/>
          <w:sz w:val="21"/>
          <w:szCs w:val="21"/>
        </w:rPr>
      </w:pPr>
      <w:r>
        <w:rPr>
          <w:rFonts w:hint="eastAsia" w:hAnsi="宋体"/>
          <w:b/>
          <w:sz w:val="21"/>
          <w:szCs w:val="21"/>
        </w:rPr>
        <w:t>三、技术资料</w:t>
      </w:r>
    </w:p>
    <w:p w14:paraId="5B1E6D1A">
      <w:pPr>
        <w:pStyle w:val="23"/>
        <w:snapToGrid w:val="0"/>
        <w:spacing w:line="360" w:lineRule="auto"/>
        <w:ind w:firstLine="420" w:firstLineChars="200"/>
        <w:rPr>
          <w:rFonts w:hAnsi="宋体"/>
          <w:sz w:val="21"/>
          <w:szCs w:val="21"/>
        </w:rPr>
      </w:pPr>
      <w:r>
        <w:rPr>
          <w:rFonts w:hint="eastAsia" w:hAnsi="宋体"/>
          <w:sz w:val="21"/>
          <w:szCs w:val="21"/>
        </w:rPr>
        <w:t>1、中标人应按招标文件规定的时间向采购人提供有关技术资料。</w:t>
      </w:r>
    </w:p>
    <w:p w14:paraId="75F1E28C">
      <w:pPr>
        <w:pStyle w:val="23"/>
        <w:snapToGrid w:val="0"/>
        <w:spacing w:line="360" w:lineRule="auto"/>
        <w:ind w:firstLine="420" w:firstLineChars="200"/>
        <w:rPr>
          <w:rFonts w:hAnsi="宋体"/>
          <w:sz w:val="21"/>
          <w:szCs w:val="21"/>
        </w:rPr>
      </w:pPr>
      <w:r>
        <w:rPr>
          <w:rFonts w:hint="eastAsia" w:hAnsi="宋体"/>
          <w:sz w:val="21"/>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7AED1D30">
      <w:pPr>
        <w:pStyle w:val="23"/>
        <w:snapToGrid w:val="0"/>
        <w:spacing w:line="360" w:lineRule="auto"/>
        <w:ind w:firstLine="420" w:firstLineChars="200"/>
        <w:rPr>
          <w:rFonts w:hAnsi="宋体"/>
          <w:sz w:val="21"/>
          <w:szCs w:val="21"/>
        </w:rPr>
      </w:pPr>
      <w:r>
        <w:rPr>
          <w:rFonts w:hint="eastAsia" w:hAnsi="宋体"/>
          <w:sz w:val="21"/>
          <w:szCs w:val="21"/>
        </w:rPr>
        <w:t>3、合同履行完毕，未经采购人的书面同意，中标人不得保存在履行合同过程中所获得或接触到的任何内部数据资料。</w:t>
      </w:r>
    </w:p>
    <w:p w14:paraId="5692BA1C">
      <w:pPr>
        <w:pStyle w:val="23"/>
        <w:snapToGrid w:val="0"/>
        <w:spacing w:line="360" w:lineRule="auto"/>
        <w:ind w:firstLine="422" w:firstLineChars="200"/>
        <w:rPr>
          <w:rFonts w:hAnsi="宋体"/>
          <w:b/>
          <w:sz w:val="21"/>
          <w:szCs w:val="21"/>
        </w:rPr>
      </w:pPr>
      <w:r>
        <w:rPr>
          <w:rFonts w:hint="eastAsia" w:hAnsi="宋体"/>
          <w:b/>
          <w:sz w:val="21"/>
          <w:szCs w:val="21"/>
        </w:rPr>
        <w:t>四、知识产权</w:t>
      </w:r>
    </w:p>
    <w:p w14:paraId="101821D9">
      <w:pPr>
        <w:pStyle w:val="23"/>
        <w:snapToGrid w:val="0"/>
        <w:spacing w:line="360" w:lineRule="auto"/>
        <w:ind w:firstLine="420" w:firstLineChars="200"/>
        <w:rPr>
          <w:rFonts w:hAnsi="宋体"/>
          <w:bCs/>
          <w:sz w:val="21"/>
          <w:szCs w:val="21"/>
        </w:rPr>
      </w:pPr>
      <w:r>
        <w:rPr>
          <w:rFonts w:hint="eastAsia" w:hAnsi="宋体"/>
          <w:sz w:val="21"/>
          <w:szCs w:val="21"/>
        </w:rPr>
        <w:t>中标人应保证提供服务过程中不会侵犯任何第三方的知识产权</w:t>
      </w:r>
      <w:r>
        <w:rPr>
          <w:rFonts w:hint="eastAsia" w:hAnsi="宋体"/>
          <w:bCs/>
          <w:sz w:val="21"/>
          <w:szCs w:val="21"/>
        </w:rPr>
        <w:t>。</w:t>
      </w:r>
    </w:p>
    <w:p w14:paraId="230DC5AF">
      <w:pPr>
        <w:pStyle w:val="23"/>
        <w:snapToGrid w:val="0"/>
        <w:spacing w:line="360" w:lineRule="auto"/>
        <w:ind w:firstLine="422" w:firstLineChars="200"/>
        <w:rPr>
          <w:rFonts w:hAnsi="宋体"/>
          <w:b/>
          <w:sz w:val="21"/>
          <w:szCs w:val="21"/>
        </w:rPr>
      </w:pPr>
      <w:r>
        <w:rPr>
          <w:rFonts w:hint="eastAsia" w:hAnsi="宋体"/>
          <w:b/>
          <w:sz w:val="21"/>
          <w:szCs w:val="21"/>
        </w:rPr>
        <w:t>五、履约保证金</w:t>
      </w:r>
    </w:p>
    <w:p w14:paraId="16253EBC">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709CF7AA">
      <w:pPr>
        <w:snapToGrid w:val="0"/>
        <w:spacing w:line="360" w:lineRule="auto"/>
        <w:ind w:firstLine="420" w:firstLineChars="200"/>
        <w:rPr>
          <w:rFonts w:ascii="宋体" w:hAnsi="宋体"/>
          <w:szCs w:val="21"/>
        </w:rPr>
      </w:pPr>
      <w:r>
        <w:rPr>
          <w:rFonts w:hint="eastAsia" w:ascii="宋体" w:hAnsi="宋体"/>
          <w:szCs w:val="21"/>
        </w:rPr>
        <w:t>1、_______________________</w:t>
      </w:r>
    </w:p>
    <w:p w14:paraId="658BB519">
      <w:pPr>
        <w:snapToGrid w:val="0"/>
        <w:spacing w:line="360" w:lineRule="auto"/>
        <w:ind w:firstLine="420" w:firstLineChars="200"/>
        <w:rPr>
          <w:rFonts w:ascii="宋体" w:hAnsi="宋体"/>
          <w:szCs w:val="21"/>
        </w:rPr>
      </w:pPr>
      <w:r>
        <w:rPr>
          <w:rFonts w:hint="eastAsia" w:ascii="宋体" w:hAnsi="宋体"/>
          <w:szCs w:val="21"/>
        </w:rPr>
        <w:t>2、_______________________</w:t>
      </w:r>
    </w:p>
    <w:p w14:paraId="49D0B065">
      <w:pPr>
        <w:snapToGrid w:val="0"/>
        <w:spacing w:line="360" w:lineRule="auto"/>
        <w:ind w:firstLine="420" w:firstLineChars="200"/>
        <w:rPr>
          <w:rFonts w:ascii="宋体" w:hAnsi="宋体"/>
          <w:szCs w:val="21"/>
        </w:rPr>
      </w:pPr>
      <w:r>
        <w:rPr>
          <w:rFonts w:hint="eastAsia" w:ascii="宋体" w:hAnsi="宋体"/>
          <w:szCs w:val="21"/>
        </w:rPr>
        <w:t>3、_______________________</w:t>
      </w:r>
    </w:p>
    <w:p w14:paraId="21912B55">
      <w:pPr>
        <w:snapToGrid w:val="0"/>
        <w:spacing w:line="360" w:lineRule="auto"/>
        <w:ind w:firstLine="420" w:firstLineChars="200"/>
        <w:rPr>
          <w:rFonts w:ascii="宋体" w:hAnsi="宋体"/>
          <w:szCs w:val="21"/>
        </w:rPr>
      </w:pPr>
      <w:r>
        <w:rPr>
          <w:rFonts w:hint="eastAsia" w:ascii="宋体" w:hAnsi="宋体"/>
          <w:szCs w:val="21"/>
        </w:rPr>
        <w:t>4、_______________________</w:t>
      </w:r>
    </w:p>
    <w:p w14:paraId="56235377">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3AE17C79">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517C2574">
      <w:pPr>
        <w:snapToGrid w:val="0"/>
        <w:spacing w:line="360" w:lineRule="auto"/>
        <w:ind w:firstLine="420" w:firstLineChars="200"/>
        <w:rPr>
          <w:rFonts w:ascii="宋体" w:hAnsi="宋体"/>
          <w:szCs w:val="21"/>
        </w:rPr>
      </w:pPr>
      <w:r>
        <w:rPr>
          <w:rFonts w:hint="eastAsia" w:ascii="宋体" w:hAnsi="宋体"/>
          <w:szCs w:val="21"/>
        </w:rPr>
        <w:t>1、_______________________</w:t>
      </w:r>
    </w:p>
    <w:p w14:paraId="329C82CF">
      <w:pPr>
        <w:snapToGrid w:val="0"/>
        <w:spacing w:line="360" w:lineRule="auto"/>
        <w:ind w:firstLine="420" w:firstLineChars="200"/>
        <w:rPr>
          <w:rFonts w:ascii="宋体" w:hAnsi="宋体"/>
          <w:szCs w:val="21"/>
        </w:rPr>
      </w:pPr>
      <w:r>
        <w:rPr>
          <w:rFonts w:hint="eastAsia" w:ascii="宋体" w:hAnsi="宋体"/>
          <w:szCs w:val="21"/>
        </w:rPr>
        <w:t>2、_______________________</w:t>
      </w:r>
    </w:p>
    <w:p w14:paraId="73B05F53">
      <w:pPr>
        <w:snapToGrid w:val="0"/>
        <w:spacing w:line="360" w:lineRule="auto"/>
        <w:ind w:firstLine="420" w:firstLineChars="200"/>
        <w:rPr>
          <w:rFonts w:ascii="宋体" w:hAnsi="宋体"/>
          <w:szCs w:val="21"/>
        </w:rPr>
      </w:pPr>
      <w:r>
        <w:rPr>
          <w:rFonts w:hint="eastAsia" w:ascii="宋体" w:hAnsi="宋体"/>
          <w:szCs w:val="21"/>
        </w:rPr>
        <w:t>3、_______________________</w:t>
      </w:r>
    </w:p>
    <w:p w14:paraId="6F4A9FC5">
      <w:pPr>
        <w:snapToGrid w:val="0"/>
        <w:spacing w:line="360" w:lineRule="auto"/>
        <w:ind w:firstLine="420" w:firstLineChars="200"/>
        <w:rPr>
          <w:rFonts w:ascii="宋体" w:hAnsi="宋体"/>
          <w:szCs w:val="21"/>
        </w:rPr>
      </w:pPr>
      <w:r>
        <w:rPr>
          <w:rFonts w:hint="eastAsia" w:ascii="宋体" w:hAnsi="宋体"/>
          <w:szCs w:val="21"/>
        </w:rPr>
        <w:t>4、_______________________</w:t>
      </w:r>
    </w:p>
    <w:p w14:paraId="5420F486">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41D73B">
      <w:pPr>
        <w:pStyle w:val="23"/>
        <w:snapToGrid w:val="0"/>
        <w:spacing w:line="360" w:lineRule="auto"/>
        <w:ind w:firstLine="422" w:firstLineChars="200"/>
        <w:rPr>
          <w:rFonts w:hAnsi="宋体"/>
          <w:b/>
          <w:sz w:val="21"/>
          <w:szCs w:val="21"/>
        </w:rPr>
      </w:pPr>
      <w:r>
        <w:rPr>
          <w:rFonts w:hint="eastAsia" w:hAnsi="宋体"/>
          <w:b/>
          <w:sz w:val="21"/>
          <w:szCs w:val="21"/>
        </w:rPr>
        <w:t>八、合同履行时间、履行方式及履行地点</w:t>
      </w:r>
    </w:p>
    <w:p w14:paraId="0C5A81FE">
      <w:pPr>
        <w:pStyle w:val="23"/>
        <w:snapToGrid w:val="0"/>
        <w:spacing w:line="360" w:lineRule="auto"/>
        <w:ind w:firstLine="420" w:firstLineChars="200"/>
        <w:rPr>
          <w:rFonts w:hAnsi="宋体"/>
          <w:bCs/>
          <w:sz w:val="21"/>
          <w:szCs w:val="21"/>
        </w:rPr>
      </w:pPr>
      <w:r>
        <w:rPr>
          <w:rFonts w:hint="eastAsia" w:hAnsi="宋体"/>
          <w:bCs/>
          <w:sz w:val="21"/>
          <w:szCs w:val="21"/>
        </w:rPr>
        <w:t>1、</w:t>
      </w:r>
      <w:r>
        <w:rPr>
          <w:rFonts w:hint="eastAsia" w:hAnsi="宋体"/>
          <w:sz w:val="21"/>
          <w:szCs w:val="21"/>
        </w:rPr>
        <w:t>履行时间</w:t>
      </w:r>
      <w:r>
        <w:rPr>
          <w:rFonts w:hint="eastAsia" w:hAnsi="宋体"/>
          <w:bCs/>
          <w:sz w:val="21"/>
          <w:szCs w:val="21"/>
        </w:rPr>
        <w:t>：</w:t>
      </w:r>
      <w:r>
        <w:rPr>
          <w:rFonts w:hint="eastAsia" w:hAnsi="宋体"/>
          <w:sz w:val="21"/>
          <w:szCs w:val="21"/>
        </w:rPr>
        <w:t>______________________</w:t>
      </w:r>
    </w:p>
    <w:p w14:paraId="7FB39080">
      <w:pPr>
        <w:pStyle w:val="23"/>
        <w:snapToGrid w:val="0"/>
        <w:spacing w:line="360" w:lineRule="auto"/>
        <w:ind w:firstLine="420" w:firstLineChars="200"/>
        <w:rPr>
          <w:rFonts w:hAnsi="宋体"/>
          <w:bCs/>
          <w:sz w:val="21"/>
          <w:szCs w:val="21"/>
        </w:rPr>
      </w:pPr>
      <w:r>
        <w:rPr>
          <w:rFonts w:hint="eastAsia" w:hAnsi="宋体"/>
          <w:bCs/>
          <w:sz w:val="21"/>
          <w:szCs w:val="21"/>
        </w:rPr>
        <w:t>2、</w:t>
      </w:r>
      <w:r>
        <w:rPr>
          <w:rFonts w:hint="eastAsia" w:hAnsi="宋体"/>
          <w:sz w:val="21"/>
          <w:szCs w:val="21"/>
        </w:rPr>
        <w:t>履行方式</w:t>
      </w:r>
      <w:r>
        <w:rPr>
          <w:rFonts w:hint="eastAsia" w:hAnsi="宋体"/>
          <w:bCs/>
          <w:sz w:val="21"/>
          <w:szCs w:val="21"/>
        </w:rPr>
        <w:t>：</w:t>
      </w:r>
      <w:r>
        <w:rPr>
          <w:rFonts w:hint="eastAsia" w:hAnsi="宋体"/>
          <w:sz w:val="21"/>
          <w:szCs w:val="21"/>
        </w:rPr>
        <w:t>______________________</w:t>
      </w:r>
    </w:p>
    <w:p w14:paraId="047A6D77">
      <w:pPr>
        <w:pStyle w:val="23"/>
        <w:snapToGrid w:val="0"/>
        <w:spacing w:line="360" w:lineRule="auto"/>
        <w:ind w:firstLine="420" w:firstLineChars="200"/>
        <w:rPr>
          <w:rFonts w:hAnsi="宋体"/>
          <w:sz w:val="21"/>
          <w:szCs w:val="21"/>
        </w:rPr>
      </w:pPr>
      <w:r>
        <w:rPr>
          <w:rFonts w:hint="eastAsia" w:hAnsi="宋体"/>
          <w:bCs/>
          <w:sz w:val="21"/>
          <w:szCs w:val="21"/>
        </w:rPr>
        <w:t>3、</w:t>
      </w:r>
      <w:r>
        <w:rPr>
          <w:rFonts w:hint="eastAsia" w:hAnsi="宋体"/>
          <w:sz w:val="21"/>
          <w:szCs w:val="21"/>
        </w:rPr>
        <w:t>履行地点</w:t>
      </w:r>
      <w:r>
        <w:rPr>
          <w:rFonts w:hint="eastAsia" w:hAnsi="宋体"/>
          <w:bCs/>
          <w:sz w:val="21"/>
          <w:szCs w:val="21"/>
        </w:rPr>
        <w:t>：</w:t>
      </w:r>
      <w:r>
        <w:rPr>
          <w:rFonts w:hint="eastAsia" w:hAnsi="宋体"/>
          <w:sz w:val="21"/>
          <w:szCs w:val="21"/>
          <w:u w:val="single"/>
        </w:rPr>
        <w:t>深圳市</w:t>
      </w:r>
    </w:p>
    <w:p w14:paraId="6FCCA0C9">
      <w:pPr>
        <w:snapToGrid w:val="0"/>
        <w:spacing w:line="360" w:lineRule="auto"/>
        <w:ind w:firstLine="422" w:firstLineChars="200"/>
        <w:rPr>
          <w:rFonts w:ascii="宋体" w:hAnsi="宋体"/>
          <w:b/>
          <w:szCs w:val="21"/>
        </w:rPr>
      </w:pPr>
      <w:r>
        <w:rPr>
          <w:rFonts w:hint="eastAsia" w:ascii="宋体" w:hAnsi="宋体"/>
          <w:b/>
          <w:szCs w:val="21"/>
        </w:rPr>
        <w:t>九、验收</w:t>
      </w:r>
    </w:p>
    <w:p w14:paraId="63FDC097">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51A8F9BD">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74DE75E7">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13C84F76">
      <w:pPr>
        <w:pStyle w:val="23"/>
        <w:snapToGrid w:val="0"/>
        <w:spacing w:line="360" w:lineRule="auto"/>
        <w:ind w:firstLine="422" w:firstLineChars="200"/>
        <w:rPr>
          <w:rFonts w:hAnsi="宋体"/>
          <w:b/>
          <w:sz w:val="21"/>
          <w:szCs w:val="21"/>
        </w:rPr>
      </w:pPr>
      <w:r>
        <w:rPr>
          <w:rFonts w:hint="eastAsia" w:hAnsi="宋体"/>
          <w:b/>
          <w:sz w:val="21"/>
          <w:szCs w:val="21"/>
        </w:rPr>
        <w:t>十、付款方式和税费</w:t>
      </w:r>
    </w:p>
    <w:p w14:paraId="0A5B2C57">
      <w:pPr>
        <w:pStyle w:val="23"/>
        <w:snapToGrid w:val="0"/>
        <w:spacing w:line="360" w:lineRule="auto"/>
        <w:ind w:firstLine="420" w:firstLineChars="200"/>
        <w:rPr>
          <w:rFonts w:hAnsi="宋体"/>
          <w:bCs/>
          <w:sz w:val="21"/>
          <w:szCs w:val="21"/>
        </w:rPr>
      </w:pPr>
      <w:r>
        <w:rPr>
          <w:rFonts w:hAnsi="宋体" w:cs="宋体"/>
          <w:sz w:val="21"/>
          <w:szCs w:val="21"/>
        </w:rPr>
        <w:t>本合同付款方式为</w:t>
      </w:r>
      <w:r>
        <w:rPr>
          <w:rFonts w:hint="eastAsia" w:hAnsi="宋体" w:cs="宋体"/>
          <w:sz w:val="21"/>
          <w:szCs w:val="21"/>
        </w:rPr>
        <w:t>：</w:t>
      </w:r>
      <w:r>
        <w:rPr>
          <w:rFonts w:hint="eastAsia" w:hAnsi="宋体" w:cs="宋体"/>
          <w:sz w:val="21"/>
          <w:szCs w:val="21"/>
          <w:u w:val="single"/>
        </w:rPr>
        <w:t xml:space="preserve">                </w:t>
      </w:r>
      <w:r>
        <w:rPr>
          <w:rFonts w:hint="eastAsia" w:hAnsi="宋体"/>
          <w:bCs/>
          <w:sz w:val="21"/>
          <w:szCs w:val="21"/>
        </w:rPr>
        <w:t>。</w:t>
      </w:r>
    </w:p>
    <w:p w14:paraId="13A23DC5">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44D4A300">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689DD13F">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1E5AEA6F">
      <w:pPr>
        <w:pStyle w:val="23"/>
        <w:snapToGrid w:val="0"/>
        <w:spacing w:line="360" w:lineRule="auto"/>
        <w:ind w:firstLine="422" w:firstLineChars="200"/>
        <w:rPr>
          <w:rFonts w:hAnsi="宋体"/>
          <w:b/>
          <w:sz w:val="21"/>
          <w:szCs w:val="21"/>
        </w:rPr>
      </w:pPr>
      <w:r>
        <w:rPr>
          <w:rFonts w:hint="eastAsia" w:hAnsi="宋体"/>
          <w:b/>
          <w:sz w:val="21"/>
          <w:szCs w:val="21"/>
        </w:rPr>
        <w:t>十二、违约责任</w:t>
      </w:r>
    </w:p>
    <w:p w14:paraId="3130A88F">
      <w:pPr>
        <w:pStyle w:val="23"/>
        <w:snapToGrid w:val="0"/>
        <w:spacing w:line="360" w:lineRule="auto"/>
        <w:ind w:firstLine="420" w:firstLineChars="200"/>
        <w:rPr>
          <w:rFonts w:hAnsi="宋体"/>
          <w:sz w:val="21"/>
          <w:szCs w:val="21"/>
        </w:rPr>
      </w:pPr>
      <w:r>
        <w:rPr>
          <w:rFonts w:hint="eastAsia" w:hAnsi="宋体"/>
          <w:sz w:val="21"/>
          <w:szCs w:val="21"/>
        </w:rPr>
        <w:t>1、因中标人原因，未能按规定完成本项目有关工作的，采购人可在支付合同余款中扣除合同价款</w:t>
      </w:r>
      <w:r>
        <w:rPr>
          <w:rFonts w:hint="eastAsia" w:hAnsi="宋体"/>
          <w:sz w:val="21"/>
          <w:szCs w:val="21"/>
          <w:u w:val="single"/>
        </w:rPr>
        <w:t xml:space="preserve">        </w:t>
      </w:r>
      <w:r>
        <w:rPr>
          <w:rFonts w:hint="eastAsia" w:hAnsi="宋体"/>
          <w:sz w:val="21"/>
          <w:szCs w:val="21"/>
        </w:rPr>
        <w:t>。</w:t>
      </w:r>
    </w:p>
    <w:p w14:paraId="5286A151">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C623BA2">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7D953004">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0D5A16FA">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1081FE9C">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185FCF19">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34CD0D4A">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6072FDFA">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59394992">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576D915F">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11309F4A">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0E1E2A12">
      <w:pPr>
        <w:pStyle w:val="23"/>
        <w:snapToGrid w:val="0"/>
        <w:spacing w:line="360" w:lineRule="auto"/>
        <w:ind w:firstLine="420" w:firstLineChars="200"/>
        <w:rPr>
          <w:rFonts w:hAnsi="宋体"/>
          <w:sz w:val="21"/>
          <w:szCs w:val="21"/>
        </w:rPr>
      </w:pPr>
      <w:r>
        <w:rPr>
          <w:rFonts w:hint="eastAsia" w:hAnsi="宋体"/>
          <w:sz w:val="21"/>
          <w:szCs w:val="21"/>
        </w:rPr>
        <w:t>附件：</w:t>
      </w:r>
    </w:p>
    <w:p w14:paraId="747C8B59">
      <w:pPr>
        <w:snapToGrid w:val="0"/>
        <w:spacing w:line="360" w:lineRule="auto"/>
        <w:ind w:firstLine="420" w:firstLineChars="200"/>
        <w:rPr>
          <w:rFonts w:ascii="宋体" w:hAnsi="宋体"/>
          <w:szCs w:val="21"/>
        </w:rPr>
      </w:pPr>
      <w:r>
        <w:rPr>
          <w:rFonts w:hint="eastAsia" w:ascii="宋体" w:hAnsi="宋体"/>
          <w:szCs w:val="21"/>
        </w:rPr>
        <w:t>1、《中标/成交通知书》</w:t>
      </w:r>
    </w:p>
    <w:p w14:paraId="59B8EC93">
      <w:pPr>
        <w:snapToGrid w:val="0"/>
        <w:spacing w:line="360" w:lineRule="auto"/>
        <w:ind w:firstLine="420" w:firstLineChars="200"/>
        <w:rPr>
          <w:rFonts w:ascii="宋体" w:hAnsi="宋体"/>
          <w:szCs w:val="21"/>
        </w:rPr>
      </w:pPr>
      <w:r>
        <w:rPr>
          <w:rFonts w:hint="eastAsia" w:ascii="宋体" w:hAnsi="宋体"/>
          <w:szCs w:val="21"/>
        </w:rPr>
        <w:t>2、《投标文件》</w:t>
      </w:r>
    </w:p>
    <w:p w14:paraId="71753815">
      <w:pPr>
        <w:snapToGrid w:val="0"/>
        <w:spacing w:line="360" w:lineRule="auto"/>
        <w:ind w:firstLine="420" w:firstLineChars="200"/>
        <w:rPr>
          <w:rFonts w:ascii="宋体" w:hAnsi="宋体"/>
          <w:szCs w:val="21"/>
        </w:rPr>
      </w:pPr>
      <w:r>
        <w:rPr>
          <w:rFonts w:hint="eastAsia" w:ascii="宋体" w:hAnsi="宋体"/>
          <w:szCs w:val="21"/>
        </w:rPr>
        <w:t>3、《招标文件》</w:t>
      </w:r>
    </w:p>
    <w:p w14:paraId="71833409">
      <w:pPr>
        <w:snapToGrid w:val="0"/>
        <w:spacing w:line="360" w:lineRule="auto"/>
        <w:rPr>
          <w:rFonts w:ascii="宋体" w:hAnsi="宋体"/>
          <w:szCs w:val="21"/>
        </w:rPr>
      </w:pPr>
    </w:p>
    <w:p w14:paraId="2F20B2E1">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591F2895">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57338325">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6B28A0A9">
      <w:pPr>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2778A3">
      <w:pPr>
        <w:ind w:firstLine="420" w:firstLineChars="200"/>
        <w:rPr>
          <w:rFonts w:ascii="宋体" w:hAnsi="宋体"/>
          <w:szCs w:val="21"/>
        </w:rPr>
      </w:pPr>
    </w:p>
    <w:p w14:paraId="546D46AB">
      <w:pPr>
        <w:ind w:firstLine="420" w:firstLineChars="200"/>
        <w:rPr>
          <w:rFonts w:ascii="宋体" w:hAnsi="宋体"/>
          <w:szCs w:val="21"/>
        </w:rPr>
      </w:pPr>
    </w:p>
    <w:p w14:paraId="682DC644">
      <w:pPr>
        <w:keepNext/>
        <w:keepLines/>
        <w:spacing w:before="260" w:after="260"/>
        <w:jc w:val="center"/>
        <w:outlineLvl w:val="2"/>
        <w:rPr>
          <w:rFonts w:ascii="宋体" w:hAnsi="宋体"/>
          <w:szCs w:val="21"/>
        </w:rPr>
      </w:pPr>
    </w:p>
    <w:p w14:paraId="0B62105D">
      <w:pPr>
        <w:keepNext/>
        <w:keepLines/>
        <w:spacing w:before="260" w:after="260"/>
        <w:jc w:val="center"/>
        <w:outlineLvl w:val="2"/>
        <w:rPr>
          <w:rFonts w:ascii="宋体" w:hAnsi="宋体"/>
          <w:szCs w:val="21"/>
        </w:rPr>
      </w:pPr>
    </w:p>
    <w:p w14:paraId="26D2DEF0">
      <w:pPr>
        <w:keepNext/>
        <w:keepLines/>
        <w:spacing w:before="260" w:after="260"/>
        <w:jc w:val="center"/>
        <w:outlineLvl w:val="2"/>
        <w:rPr>
          <w:rFonts w:ascii="宋体" w:hAnsi="宋体"/>
          <w:szCs w:val="21"/>
        </w:rPr>
      </w:pPr>
    </w:p>
    <w:p w14:paraId="5BFE15AF">
      <w:pPr>
        <w:keepNext/>
        <w:keepLines/>
        <w:spacing w:before="260" w:after="260"/>
        <w:jc w:val="center"/>
        <w:outlineLvl w:val="2"/>
        <w:rPr>
          <w:rFonts w:ascii="宋体" w:hAnsi="宋体"/>
          <w:szCs w:val="21"/>
        </w:rPr>
      </w:pPr>
    </w:p>
    <w:p w14:paraId="14D7659A">
      <w:pPr>
        <w:keepNext/>
        <w:keepLines/>
        <w:spacing w:before="260" w:after="260"/>
        <w:jc w:val="center"/>
        <w:outlineLvl w:val="2"/>
        <w:rPr>
          <w:rFonts w:ascii="宋体" w:hAnsi="宋体"/>
          <w:szCs w:val="21"/>
        </w:rPr>
      </w:pPr>
    </w:p>
    <w:p w14:paraId="73D5C0FB">
      <w:pPr>
        <w:keepNext/>
        <w:keepLines/>
        <w:spacing w:before="260" w:after="260"/>
        <w:jc w:val="center"/>
        <w:outlineLvl w:val="2"/>
        <w:rPr>
          <w:rFonts w:ascii="宋体" w:hAnsi="宋体"/>
          <w:szCs w:val="21"/>
        </w:rPr>
      </w:pPr>
    </w:p>
    <w:p w14:paraId="3BE0FF24">
      <w:pPr>
        <w:keepNext/>
        <w:keepLines/>
        <w:spacing w:before="260" w:after="260"/>
        <w:jc w:val="center"/>
        <w:outlineLvl w:val="2"/>
        <w:rPr>
          <w:rFonts w:ascii="宋体" w:hAnsi="宋体"/>
          <w:szCs w:val="21"/>
        </w:rPr>
      </w:pPr>
    </w:p>
    <w:p w14:paraId="1724DB0F">
      <w:pPr>
        <w:keepNext/>
        <w:keepLines/>
        <w:spacing w:before="260" w:after="260"/>
        <w:jc w:val="center"/>
        <w:outlineLvl w:val="2"/>
        <w:rPr>
          <w:rFonts w:ascii="宋体" w:hAnsi="宋体"/>
          <w:szCs w:val="21"/>
        </w:rPr>
      </w:pPr>
    </w:p>
    <w:p w14:paraId="56916C49">
      <w:pPr>
        <w:keepNext/>
        <w:keepLines/>
        <w:spacing w:before="260" w:after="260"/>
        <w:jc w:val="center"/>
        <w:outlineLvl w:val="2"/>
        <w:rPr>
          <w:rFonts w:ascii="宋体" w:hAnsi="宋体"/>
          <w:szCs w:val="21"/>
        </w:rPr>
      </w:pPr>
    </w:p>
    <w:p w14:paraId="612C8F29">
      <w:pPr>
        <w:widowControl/>
        <w:jc w:val="left"/>
        <w:rPr>
          <w:rFonts w:ascii="宋体" w:hAnsi="宋体"/>
          <w:b/>
          <w:szCs w:val="21"/>
        </w:rPr>
      </w:pPr>
      <w:r>
        <w:rPr>
          <w:bCs/>
          <w:szCs w:val="21"/>
        </w:rPr>
        <w:br w:type="page"/>
      </w:r>
    </w:p>
    <w:p w14:paraId="2B560A7D">
      <w:pPr>
        <w:pStyle w:val="6"/>
        <w:spacing w:before="0"/>
        <w:jc w:val="center"/>
        <w:rPr>
          <w:rFonts w:ascii="黑体" w:eastAsia="黑体"/>
          <w:b w:val="0"/>
          <w:sz w:val="24"/>
          <w:szCs w:val="24"/>
        </w:rPr>
      </w:pPr>
      <w:r>
        <w:rPr>
          <w:rFonts w:hint="eastAsia" w:ascii="黑体" w:eastAsia="黑体"/>
          <w:b w:val="0"/>
          <w:sz w:val="24"/>
          <w:szCs w:val="24"/>
        </w:rPr>
        <w:t>二、政府采购履约情况反馈表</w:t>
      </w:r>
    </w:p>
    <w:p w14:paraId="636B4D40">
      <w:pPr>
        <w:spacing w:line="240" w:lineRule="atLeast"/>
        <w:rPr>
          <w:rFonts w:ascii="宋体" w:hAnsi="宋体"/>
          <w:b/>
          <w:szCs w:val="21"/>
        </w:rPr>
      </w:pPr>
      <w:r>
        <w:rPr>
          <w:rFonts w:hint="eastAsia" w:ascii="宋体" w:hAnsi="宋体"/>
          <w:b/>
          <w:szCs w:val="21"/>
        </w:rPr>
        <w:t>采购人名称：                       联系人及电话：</w:t>
      </w:r>
    </w:p>
    <w:p w14:paraId="59D16232">
      <w:pPr>
        <w:spacing w:line="60" w:lineRule="exact"/>
        <w:rPr>
          <w:rFonts w:ascii="宋体" w:hAnsi="宋体"/>
          <w:b/>
          <w:szCs w:val="21"/>
        </w:rPr>
      </w:pPr>
    </w:p>
    <w:tbl>
      <w:tblPr>
        <w:tblStyle w:val="42"/>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14:paraId="2474B7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45329A73">
            <w:pPr>
              <w:spacing w:line="240" w:lineRule="atLeast"/>
              <w:jc w:val="center"/>
              <w:rPr>
                <w:rFonts w:ascii="宋体" w:hAnsi="宋体"/>
                <w:szCs w:val="21"/>
              </w:rPr>
            </w:pPr>
            <w:r>
              <w:rPr>
                <w:rFonts w:hint="eastAsia" w:ascii="宋体" w:hAnsi="宋体"/>
                <w:szCs w:val="21"/>
              </w:rPr>
              <w:t>采购项目名称</w:t>
            </w:r>
          </w:p>
        </w:tc>
        <w:tc>
          <w:tcPr>
            <w:tcW w:w="2520" w:type="dxa"/>
            <w:vAlign w:val="center"/>
          </w:tcPr>
          <w:p w14:paraId="1DB8195A">
            <w:pPr>
              <w:spacing w:line="240" w:lineRule="atLeast"/>
              <w:jc w:val="center"/>
              <w:rPr>
                <w:rFonts w:ascii="宋体" w:hAnsi="宋体"/>
                <w:szCs w:val="21"/>
              </w:rPr>
            </w:pPr>
          </w:p>
        </w:tc>
        <w:tc>
          <w:tcPr>
            <w:tcW w:w="1980" w:type="dxa"/>
            <w:vAlign w:val="center"/>
          </w:tcPr>
          <w:p w14:paraId="77615645">
            <w:pPr>
              <w:spacing w:line="240" w:lineRule="atLeast"/>
              <w:jc w:val="center"/>
              <w:rPr>
                <w:rFonts w:ascii="宋体" w:hAnsi="宋体"/>
                <w:szCs w:val="21"/>
              </w:rPr>
            </w:pPr>
            <w:r>
              <w:rPr>
                <w:rFonts w:hint="eastAsia" w:ascii="宋体" w:hAnsi="宋体"/>
                <w:szCs w:val="21"/>
              </w:rPr>
              <w:t>项目编号</w:t>
            </w:r>
          </w:p>
        </w:tc>
        <w:tc>
          <w:tcPr>
            <w:tcW w:w="2135" w:type="dxa"/>
            <w:vAlign w:val="center"/>
          </w:tcPr>
          <w:p w14:paraId="190518F4">
            <w:pPr>
              <w:spacing w:line="240" w:lineRule="atLeast"/>
              <w:jc w:val="center"/>
              <w:rPr>
                <w:rFonts w:ascii="宋体" w:hAnsi="宋体"/>
                <w:szCs w:val="21"/>
              </w:rPr>
            </w:pPr>
          </w:p>
        </w:tc>
      </w:tr>
      <w:tr w14:paraId="7AAE8C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5FCADD3F">
            <w:pPr>
              <w:spacing w:line="240" w:lineRule="atLeast"/>
              <w:jc w:val="center"/>
              <w:rPr>
                <w:rFonts w:ascii="宋体" w:hAnsi="宋体"/>
                <w:szCs w:val="21"/>
              </w:rPr>
            </w:pPr>
            <w:r>
              <w:rPr>
                <w:rFonts w:hint="eastAsia" w:ascii="宋体" w:hAnsi="宋体"/>
                <w:szCs w:val="21"/>
              </w:rPr>
              <w:t>中标供应商名称</w:t>
            </w:r>
          </w:p>
        </w:tc>
        <w:tc>
          <w:tcPr>
            <w:tcW w:w="2520" w:type="dxa"/>
            <w:vAlign w:val="center"/>
          </w:tcPr>
          <w:p w14:paraId="0C96782B">
            <w:pPr>
              <w:spacing w:line="240" w:lineRule="atLeast"/>
              <w:jc w:val="center"/>
              <w:rPr>
                <w:rFonts w:ascii="宋体" w:hAnsi="宋体"/>
                <w:szCs w:val="21"/>
              </w:rPr>
            </w:pPr>
          </w:p>
        </w:tc>
        <w:tc>
          <w:tcPr>
            <w:tcW w:w="1980" w:type="dxa"/>
            <w:vAlign w:val="center"/>
          </w:tcPr>
          <w:p w14:paraId="57B4C207">
            <w:pPr>
              <w:spacing w:line="240" w:lineRule="atLeast"/>
              <w:jc w:val="center"/>
              <w:rPr>
                <w:rFonts w:ascii="宋体" w:hAnsi="宋体"/>
                <w:szCs w:val="21"/>
              </w:rPr>
            </w:pPr>
            <w:r>
              <w:rPr>
                <w:rFonts w:hint="eastAsia" w:ascii="宋体" w:hAnsi="宋体"/>
                <w:szCs w:val="21"/>
              </w:rPr>
              <w:t>供应商</w:t>
            </w:r>
          </w:p>
          <w:p w14:paraId="02C5BDB4">
            <w:pPr>
              <w:spacing w:line="240" w:lineRule="atLeast"/>
              <w:jc w:val="center"/>
              <w:rPr>
                <w:rFonts w:ascii="宋体" w:hAnsi="宋体"/>
                <w:szCs w:val="21"/>
              </w:rPr>
            </w:pPr>
            <w:r>
              <w:rPr>
                <w:rFonts w:hint="eastAsia" w:ascii="宋体" w:hAnsi="宋体"/>
                <w:szCs w:val="21"/>
              </w:rPr>
              <w:t>联系人及电话</w:t>
            </w:r>
          </w:p>
        </w:tc>
        <w:tc>
          <w:tcPr>
            <w:tcW w:w="2135" w:type="dxa"/>
            <w:vAlign w:val="center"/>
          </w:tcPr>
          <w:p w14:paraId="226B0E87">
            <w:pPr>
              <w:spacing w:line="240" w:lineRule="atLeast"/>
              <w:jc w:val="center"/>
              <w:rPr>
                <w:rFonts w:ascii="宋体" w:hAnsi="宋体"/>
                <w:szCs w:val="21"/>
              </w:rPr>
            </w:pPr>
          </w:p>
        </w:tc>
      </w:tr>
      <w:tr w14:paraId="61C874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5D009E73">
            <w:pPr>
              <w:spacing w:line="240" w:lineRule="atLeast"/>
              <w:jc w:val="center"/>
              <w:rPr>
                <w:rFonts w:ascii="宋体" w:hAnsi="宋体"/>
                <w:szCs w:val="21"/>
              </w:rPr>
            </w:pPr>
            <w:r>
              <w:rPr>
                <w:rFonts w:hint="eastAsia" w:ascii="宋体" w:hAnsi="宋体"/>
                <w:szCs w:val="21"/>
              </w:rPr>
              <w:t>中标金额</w:t>
            </w:r>
          </w:p>
        </w:tc>
        <w:tc>
          <w:tcPr>
            <w:tcW w:w="2520" w:type="dxa"/>
            <w:vAlign w:val="center"/>
          </w:tcPr>
          <w:p w14:paraId="478B4F66">
            <w:pPr>
              <w:spacing w:line="240" w:lineRule="atLeast"/>
              <w:jc w:val="center"/>
              <w:rPr>
                <w:rFonts w:ascii="宋体" w:hAnsi="宋体"/>
                <w:szCs w:val="21"/>
              </w:rPr>
            </w:pPr>
          </w:p>
        </w:tc>
        <w:tc>
          <w:tcPr>
            <w:tcW w:w="1980" w:type="dxa"/>
            <w:vAlign w:val="center"/>
          </w:tcPr>
          <w:p w14:paraId="5E9BFB3A">
            <w:pPr>
              <w:spacing w:line="240" w:lineRule="atLeast"/>
              <w:jc w:val="center"/>
              <w:rPr>
                <w:rFonts w:ascii="宋体" w:hAnsi="宋体"/>
                <w:szCs w:val="21"/>
              </w:rPr>
            </w:pPr>
            <w:r>
              <w:rPr>
                <w:rFonts w:hint="eastAsia" w:ascii="宋体" w:hAnsi="宋体"/>
                <w:szCs w:val="21"/>
              </w:rPr>
              <w:t>合同履约时间</w:t>
            </w:r>
          </w:p>
        </w:tc>
        <w:tc>
          <w:tcPr>
            <w:tcW w:w="2135" w:type="dxa"/>
            <w:vAlign w:val="center"/>
          </w:tcPr>
          <w:p w14:paraId="22BA939B">
            <w:pPr>
              <w:spacing w:line="240" w:lineRule="atLeast"/>
              <w:rPr>
                <w:rFonts w:ascii="宋体" w:hAnsi="宋体"/>
                <w:szCs w:val="21"/>
              </w:rPr>
            </w:pPr>
            <w:r>
              <w:rPr>
                <w:rFonts w:hint="eastAsia" w:ascii="宋体" w:hAnsi="宋体"/>
                <w:szCs w:val="21"/>
              </w:rPr>
              <w:t>自       至</w:t>
            </w:r>
          </w:p>
        </w:tc>
      </w:tr>
      <w:tr w14:paraId="483D2C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5FF15ED1">
            <w:pPr>
              <w:spacing w:line="240" w:lineRule="atLeast"/>
              <w:jc w:val="center"/>
              <w:rPr>
                <w:rFonts w:ascii="宋体" w:hAnsi="宋体"/>
                <w:b/>
                <w:szCs w:val="21"/>
              </w:rPr>
            </w:pPr>
            <w:r>
              <w:rPr>
                <w:rFonts w:hint="eastAsia" w:ascii="宋体" w:hAnsi="宋体"/>
                <w:b/>
                <w:szCs w:val="21"/>
              </w:rPr>
              <w:t>履约情况评价</w:t>
            </w:r>
          </w:p>
        </w:tc>
        <w:tc>
          <w:tcPr>
            <w:tcW w:w="1440" w:type="dxa"/>
            <w:gridSpan w:val="2"/>
            <w:tcBorders>
              <w:right w:val="single" w:color="auto" w:sz="4" w:space="0"/>
            </w:tcBorders>
            <w:vAlign w:val="center"/>
          </w:tcPr>
          <w:p w14:paraId="4E5624B0">
            <w:pPr>
              <w:spacing w:line="240" w:lineRule="atLeast"/>
              <w:jc w:val="center"/>
              <w:rPr>
                <w:rFonts w:ascii="宋体" w:hAnsi="宋体"/>
                <w:szCs w:val="21"/>
              </w:rPr>
            </w:pPr>
            <w:r>
              <w:rPr>
                <w:rFonts w:hint="eastAsia" w:ascii="宋体" w:hAnsi="宋体"/>
                <w:szCs w:val="21"/>
              </w:rPr>
              <w:t>总体评价</w:t>
            </w:r>
          </w:p>
        </w:tc>
        <w:tc>
          <w:tcPr>
            <w:tcW w:w="6635" w:type="dxa"/>
            <w:gridSpan w:val="3"/>
            <w:tcBorders>
              <w:left w:val="single" w:color="auto" w:sz="4" w:space="0"/>
            </w:tcBorders>
            <w:vAlign w:val="center"/>
          </w:tcPr>
          <w:p w14:paraId="20EA52FB">
            <w:pPr>
              <w:spacing w:line="240" w:lineRule="atLeast"/>
              <w:ind w:firstLine="105" w:firstLineChars="50"/>
              <w:jc w:val="center"/>
              <w:rPr>
                <w:rFonts w:ascii="宋体" w:hAnsi="宋体"/>
                <w:szCs w:val="21"/>
              </w:rPr>
            </w:pPr>
            <w:r>
              <w:rPr>
                <w:rFonts w:hint="eastAsia" w:ascii="宋体" w:hAnsi="宋体"/>
                <w:szCs w:val="21"/>
              </w:rPr>
              <w:t>□ 优          □ 良          □ 中           □ 差</w:t>
            </w:r>
          </w:p>
        </w:tc>
      </w:tr>
      <w:tr w14:paraId="07F9C7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0AB284CA">
            <w:pPr>
              <w:spacing w:line="240" w:lineRule="atLeast"/>
              <w:jc w:val="center"/>
              <w:rPr>
                <w:rFonts w:ascii="宋体" w:hAnsi="宋体"/>
                <w:szCs w:val="21"/>
              </w:rPr>
            </w:pPr>
          </w:p>
        </w:tc>
        <w:tc>
          <w:tcPr>
            <w:tcW w:w="720" w:type="dxa"/>
            <w:vMerge w:val="restart"/>
            <w:tcBorders>
              <w:right w:val="single" w:color="auto" w:sz="4" w:space="0"/>
            </w:tcBorders>
            <w:vAlign w:val="center"/>
          </w:tcPr>
          <w:p w14:paraId="453252F4">
            <w:pPr>
              <w:spacing w:line="240" w:lineRule="atLeast"/>
              <w:jc w:val="center"/>
              <w:rPr>
                <w:rFonts w:ascii="宋体" w:hAnsi="宋体"/>
                <w:szCs w:val="21"/>
              </w:rPr>
            </w:pPr>
            <w:r>
              <w:rPr>
                <w:rFonts w:hint="eastAsia" w:ascii="宋体" w:hAnsi="宋体"/>
                <w:szCs w:val="21"/>
              </w:rPr>
              <w:t>分项评价</w:t>
            </w:r>
          </w:p>
        </w:tc>
        <w:tc>
          <w:tcPr>
            <w:tcW w:w="720" w:type="dxa"/>
            <w:tcBorders>
              <w:left w:val="single" w:color="auto" w:sz="4" w:space="0"/>
              <w:right w:val="single" w:color="auto" w:sz="4" w:space="0"/>
            </w:tcBorders>
            <w:vAlign w:val="center"/>
          </w:tcPr>
          <w:p w14:paraId="4913A4AB">
            <w:pPr>
              <w:spacing w:line="240" w:lineRule="atLeast"/>
              <w:jc w:val="center"/>
              <w:rPr>
                <w:rFonts w:ascii="宋体" w:hAnsi="宋体"/>
                <w:szCs w:val="21"/>
              </w:rPr>
            </w:pPr>
            <w:r>
              <w:rPr>
                <w:rFonts w:hint="eastAsia" w:ascii="宋体" w:hAnsi="宋体"/>
                <w:szCs w:val="21"/>
              </w:rPr>
              <w:t>质量方面</w:t>
            </w:r>
          </w:p>
        </w:tc>
        <w:tc>
          <w:tcPr>
            <w:tcW w:w="6635" w:type="dxa"/>
            <w:gridSpan w:val="3"/>
            <w:tcBorders>
              <w:left w:val="single" w:color="auto" w:sz="4" w:space="0"/>
            </w:tcBorders>
            <w:vAlign w:val="center"/>
          </w:tcPr>
          <w:p w14:paraId="00CC63CD">
            <w:pPr>
              <w:spacing w:line="240" w:lineRule="atLeast"/>
              <w:jc w:val="center"/>
              <w:rPr>
                <w:rFonts w:ascii="宋体" w:hAnsi="宋体"/>
                <w:szCs w:val="21"/>
              </w:rPr>
            </w:pPr>
            <w:r>
              <w:rPr>
                <w:rFonts w:hint="eastAsia" w:ascii="宋体" w:hAnsi="宋体"/>
                <w:szCs w:val="21"/>
              </w:rPr>
              <w:t xml:space="preserve"> □ 优          □ 良          □ 中           □ 差</w:t>
            </w:r>
          </w:p>
        </w:tc>
      </w:tr>
      <w:tr w14:paraId="3514CD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45C576A5">
            <w:pPr>
              <w:spacing w:line="240" w:lineRule="atLeast"/>
              <w:jc w:val="center"/>
              <w:rPr>
                <w:rFonts w:ascii="宋体" w:hAnsi="宋体"/>
                <w:szCs w:val="21"/>
              </w:rPr>
            </w:pPr>
          </w:p>
        </w:tc>
        <w:tc>
          <w:tcPr>
            <w:tcW w:w="720" w:type="dxa"/>
            <w:vMerge w:val="continue"/>
            <w:tcBorders>
              <w:right w:val="single" w:color="auto" w:sz="4" w:space="0"/>
            </w:tcBorders>
            <w:vAlign w:val="center"/>
          </w:tcPr>
          <w:p w14:paraId="094CE00C">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6FAAE94D">
            <w:pPr>
              <w:spacing w:line="240" w:lineRule="atLeast"/>
              <w:jc w:val="center"/>
              <w:rPr>
                <w:rFonts w:ascii="宋体" w:hAnsi="宋体"/>
                <w:szCs w:val="21"/>
              </w:rPr>
            </w:pPr>
            <w:r>
              <w:rPr>
                <w:rFonts w:hint="eastAsia" w:ascii="宋体" w:hAnsi="宋体"/>
                <w:szCs w:val="21"/>
              </w:rPr>
              <w:t>价格方面</w:t>
            </w:r>
          </w:p>
        </w:tc>
        <w:tc>
          <w:tcPr>
            <w:tcW w:w="6635" w:type="dxa"/>
            <w:gridSpan w:val="3"/>
            <w:tcBorders>
              <w:left w:val="single" w:color="auto" w:sz="4" w:space="0"/>
            </w:tcBorders>
            <w:vAlign w:val="center"/>
          </w:tcPr>
          <w:p w14:paraId="2883F7AC">
            <w:pPr>
              <w:spacing w:line="240" w:lineRule="atLeast"/>
              <w:jc w:val="center"/>
              <w:rPr>
                <w:rFonts w:ascii="宋体" w:hAnsi="宋体"/>
                <w:szCs w:val="21"/>
              </w:rPr>
            </w:pPr>
            <w:r>
              <w:rPr>
                <w:rFonts w:hint="eastAsia" w:ascii="宋体" w:hAnsi="宋体"/>
                <w:szCs w:val="21"/>
              </w:rPr>
              <w:t xml:space="preserve"> □ 优          □ 良          □ 中           □ 差</w:t>
            </w:r>
          </w:p>
        </w:tc>
      </w:tr>
      <w:tr w14:paraId="7D87B5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31CBE5A3">
            <w:pPr>
              <w:spacing w:line="240" w:lineRule="atLeast"/>
              <w:jc w:val="center"/>
              <w:rPr>
                <w:rFonts w:ascii="宋体" w:hAnsi="宋体"/>
                <w:szCs w:val="21"/>
              </w:rPr>
            </w:pPr>
          </w:p>
        </w:tc>
        <w:tc>
          <w:tcPr>
            <w:tcW w:w="720" w:type="dxa"/>
            <w:vMerge w:val="continue"/>
            <w:tcBorders>
              <w:right w:val="single" w:color="auto" w:sz="4" w:space="0"/>
            </w:tcBorders>
            <w:vAlign w:val="center"/>
          </w:tcPr>
          <w:p w14:paraId="4F706AC7">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24541826">
            <w:pPr>
              <w:spacing w:line="240" w:lineRule="atLeast"/>
              <w:jc w:val="center"/>
              <w:rPr>
                <w:rFonts w:ascii="宋体" w:hAnsi="宋体"/>
                <w:szCs w:val="21"/>
              </w:rPr>
            </w:pPr>
            <w:r>
              <w:rPr>
                <w:rFonts w:hint="eastAsia" w:ascii="宋体" w:hAnsi="宋体"/>
                <w:szCs w:val="21"/>
              </w:rPr>
              <w:t>服务方面</w:t>
            </w:r>
          </w:p>
        </w:tc>
        <w:tc>
          <w:tcPr>
            <w:tcW w:w="6635" w:type="dxa"/>
            <w:gridSpan w:val="3"/>
            <w:tcBorders>
              <w:left w:val="single" w:color="auto" w:sz="4" w:space="0"/>
            </w:tcBorders>
            <w:vAlign w:val="center"/>
          </w:tcPr>
          <w:p w14:paraId="2E1B8932">
            <w:pPr>
              <w:spacing w:line="240" w:lineRule="atLeast"/>
              <w:jc w:val="center"/>
              <w:rPr>
                <w:rFonts w:ascii="宋体" w:hAnsi="宋体"/>
                <w:szCs w:val="21"/>
              </w:rPr>
            </w:pPr>
            <w:r>
              <w:rPr>
                <w:rFonts w:hint="eastAsia" w:ascii="宋体" w:hAnsi="宋体"/>
                <w:szCs w:val="21"/>
              </w:rPr>
              <w:t xml:space="preserve"> □ 优          □ 良          □ 中           □ 差</w:t>
            </w:r>
          </w:p>
        </w:tc>
      </w:tr>
      <w:tr w14:paraId="71DE0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57B8238">
            <w:pPr>
              <w:spacing w:line="240" w:lineRule="atLeast"/>
              <w:jc w:val="center"/>
              <w:rPr>
                <w:rFonts w:ascii="宋体" w:hAnsi="宋体"/>
                <w:szCs w:val="21"/>
              </w:rPr>
            </w:pPr>
          </w:p>
        </w:tc>
        <w:tc>
          <w:tcPr>
            <w:tcW w:w="720" w:type="dxa"/>
            <w:vMerge w:val="continue"/>
            <w:tcBorders>
              <w:right w:val="single" w:color="auto" w:sz="4" w:space="0"/>
            </w:tcBorders>
            <w:vAlign w:val="center"/>
          </w:tcPr>
          <w:p w14:paraId="39EDC40F">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22A4983F">
            <w:pPr>
              <w:spacing w:line="240" w:lineRule="atLeast"/>
              <w:jc w:val="center"/>
              <w:rPr>
                <w:rFonts w:ascii="宋体" w:hAnsi="宋体"/>
                <w:szCs w:val="21"/>
              </w:rPr>
            </w:pPr>
            <w:r>
              <w:rPr>
                <w:rFonts w:hint="eastAsia" w:ascii="宋体" w:hAnsi="宋体"/>
                <w:szCs w:val="21"/>
              </w:rPr>
              <w:t>时间方面</w:t>
            </w:r>
          </w:p>
        </w:tc>
        <w:tc>
          <w:tcPr>
            <w:tcW w:w="6635" w:type="dxa"/>
            <w:gridSpan w:val="3"/>
            <w:tcBorders>
              <w:left w:val="single" w:color="auto" w:sz="4" w:space="0"/>
            </w:tcBorders>
            <w:vAlign w:val="center"/>
          </w:tcPr>
          <w:p w14:paraId="04DD1BDE">
            <w:pPr>
              <w:spacing w:line="240" w:lineRule="atLeast"/>
              <w:jc w:val="center"/>
              <w:rPr>
                <w:rFonts w:ascii="宋体" w:hAnsi="宋体"/>
                <w:szCs w:val="21"/>
              </w:rPr>
            </w:pPr>
            <w:r>
              <w:rPr>
                <w:rFonts w:hint="eastAsia" w:ascii="宋体" w:hAnsi="宋体"/>
                <w:szCs w:val="21"/>
              </w:rPr>
              <w:t xml:space="preserve"> □ 优          □ 良          □ 中           □ 差</w:t>
            </w:r>
          </w:p>
        </w:tc>
      </w:tr>
      <w:tr w14:paraId="3E1886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4E601484">
            <w:pPr>
              <w:spacing w:line="240" w:lineRule="atLeast"/>
              <w:jc w:val="center"/>
              <w:rPr>
                <w:rFonts w:ascii="宋体" w:hAnsi="宋体"/>
                <w:szCs w:val="21"/>
              </w:rPr>
            </w:pPr>
          </w:p>
        </w:tc>
        <w:tc>
          <w:tcPr>
            <w:tcW w:w="720" w:type="dxa"/>
            <w:vMerge w:val="continue"/>
            <w:tcBorders>
              <w:right w:val="single" w:color="auto" w:sz="4" w:space="0"/>
            </w:tcBorders>
            <w:vAlign w:val="center"/>
          </w:tcPr>
          <w:p w14:paraId="03D99A73">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753DC93F">
            <w:pPr>
              <w:spacing w:line="240" w:lineRule="atLeast"/>
              <w:jc w:val="center"/>
              <w:rPr>
                <w:rFonts w:ascii="宋体" w:hAnsi="宋体"/>
                <w:szCs w:val="21"/>
              </w:rPr>
            </w:pPr>
            <w:r>
              <w:rPr>
                <w:rFonts w:hint="eastAsia" w:ascii="宋体" w:hAnsi="宋体"/>
                <w:szCs w:val="21"/>
              </w:rPr>
              <w:t>环境保护</w:t>
            </w:r>
          </w:p>
        </w:tc>
        <w:tc>
          <w:tcPr>
            <w:tcW w:w="6635" w:type="dxa"/>
            <w:gridSpan w:val="3"/>
            <w:tcBorders>
              <w:left w:val="single" w:color="auto" w:sz="4" w:space="0"/>
            </w:tcBorders>
            <w:vAlign w:val="center"/>
          </w:tcPr>
          <w:p w14:paraId="1EBD70F5">
            <w:pPr>
              <w:spacing w:line="240" w:lineRule="atLeast"/>
              <w:jc w:val="center"/>
              <w:rPr>
                <w:rFonts w:ascii="宋体" w:hAnsi="宋体"/>
                <w:szCs w:val="21"/>
              </w:rPr>
            </w:pPr>
            <w:r>
              <w:rPr>
                <w:rFonts w:hint="eastAsia" w:ascii="宋体" w:hAnsi="宋体"/>
                <w:szCs w:val="21"/>
              </w:rPr>
              <w:t xml:space="preserve"> □ 优          □ 良          □ 中           □ 差</w:t>
            </w:r>
          </w:p>
        </w:tc>
      </w:tr>
      <w:tr w14:paraId="0A0059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BE90246">
            <w:pPr>
              <w:spacing w:line="240" w:lineRule="atLeast"/>
              <w:jc w:val="center"/>
              <w:rPr>
                <w:rFonts w:ascii="宋体" w:hAnsi="宋体"/>
                <w:szCs w:val="21"/>
              </w:rPr>
            </w:pPr>
          </w:p>
        </w:tc>
        <w:tc>
          <w:tcPr>
            <w:tcW w:w="720" w:type="dxa"/>
            <w:vMerge w:val="continue"/>
            <w:tcBorders>
              <w:right w:val="single" w:color="auto" w:sz="4" w:space="0"/>
            </w:tcBorders>
            <w:vAlign w:val="center"/>
          </w:tcPr>
          <w:p w14:paraId="40119A81">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256D26A3">
            <w:pPr>
              <w:spacing w:line="240" w:lineRule="atLeast"/>
              <w:jc w:val="center"/>
              <w:rPr>
                <w:rFonts w:ascii="宋体" w:hAnsi="宋体"/>
                <w:szCs w:val="21"/>
              </w:rPr>
            </w:pPr>
            <w:r>
              <w:rPr>
                <w:rFonts w:hint="eastAsia" w:ascii="宋体" w:hAnsi="宋体"/>
                <w:szCs w:val="21"/>
              </w:rPr>
              <w:t>其他</w:t>
            </w:r>
          </w:p>
        </w:tc>
        <w:tc>
          <w:tcPr>
            <w:tcW w:w="6635" w:type="dxa"/>
            <w:gridSpan w:val="3"/>
            <w:tcBorders>
              <w:left w:val="single" w:color="auto" w:sz="4" w:space="0"/>
            </w:tcBorders>
            <w:vAlign w:val="center"/>
          </w:tcPr>
          <w:p w14:paraId="1B839F8C">
            <w:pPr>
              <w:spacing w:before="156" w:beforeLines="50" w:after="156" w:afterLines="50" w:line="240" w:lineRule="atLeast"/>
              <w:rPr>
                <w:rFonts w:ascii="宋体" w:hAnsi="宋体"/>
                <w:szCs w:val="21"/>
                <w:u w:val="single"/>
              </w:rPr>
            </w:pPr>
            <w:r>
              <w:rPr>
                <w:rFonts w:hint="eastAsia" w:ascii="宋体" w:hAnsi="宋体"/>
                <w:szCs w:val="21"/>
              </w:rPr>
              <w:t>评价内容为：</w:t>
            </w:r>
            <w:r>
              <w:rPr>
                <w:rFonts w:hint="eastAsia" w:ascii="宋体" w:hAnsi="宋体"/>
                <w:szCs w:val="21"/>
                <w:u w:val="single"/>
              </w:rPr>
              <w:t xml:space="preserve">                    </w:t>
            </w:r>
          </w:p>
          <w:p w14:paraId="3BFE9435">
            <w:pPr>
              <w:spacing w:before="156" w:beforeLines="50" w:after="156" w:afterLines="50" w:line="240" w:lineRule="atLeast"/>
              <w:rPr>
                <w:rFonts w:ascii="宋体" w:hAnsi="宋体"/>
                <w:szCs w:val="21"/>
              </w:rPr>
            </w:pPr>
            <w:r>
              <w:rPr>
                <w:rFonts w:hint="eastAsia" w:ascii="宋体" w:hAnsi="宋体"/>
                <w:szCs w:val="21"/>
              </w:rPr>
              <w:t>评价等级为：  □ 优       □ 良        □ 中         □ 差</w:t>
            </w:r>
          </w:p>
        </w:tc>
      </w:tr>
      <w:tr w14:paraId="2C8D14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1562" w:type="dxa"/>
            <w:gridSpan w:val="2"/>
            <w:vAlign w:val="center"/>
          </w:tcPr>
          <w:p w14:paraId="23FA3816">
            <w:pPr>
              <w:spacing w:line="240" w:lineRule="atLeast"/>
              <w:jc w:val="center"/>
              <w:rPr>
                <w:rFonts w:ascii="宋体" w:hAnsi="宋体"/>
                <w:szCs w:val="21"/>
              </w:rPr>
            </w:pPr>
            <w:r>
              <w:rPr>
                <w:rFonts w:hint="eastAsia" w:ascii="宋体" w:hAnsi="宋体"/>
                <w:szCs w:val="21"/>
              </w:rPr>
              <w:t>具体情况说明</w:t>
            </w:r>
          </w:p>
        </w:tc>
        <w:tc>
          <w:tcPr>
            <w:tcW w:w="7355" w:type="dxa"/>
            <w:gridSpan w:val="4"/>
          </w:tcPr>
          <w:p w14:paraId="297F394A">
            <w:pPr>
              <w:spacing w:line="240" w:lineRule="atLeast"/>
              <w:rPr>
                <w:rFonts w:ascii="宋体" w:hAnsi="宋体"/>
                <w:szCs w:val="21"/>
              </w:rPr>
            </w:pPr>
          </w:p>
          <w:p w14:paraId="62B89C98">
            <w:pPr>
              <w:spacing w:line="240" w:lineRule="atLeast"/>
              <w:rPr>
                <w:rFonts w:ascii="宋体" w:hAnsi="宋体"/>
                <w:szCs w:val="21"/>
              </w:rPr>
            </w:pPr>
          </w:p>
          <w:p w14:paraId="6916AD55">
            <w:pPr>
              <w:spacing w:line="240" w:lineRule="atLeast"/>
              <w:rPr>
                <w:rFonts w:ascii="宋体" w:hAnsi="宋体"/>
                <w:szCs w:val="21"/>
              </w:rPr>
            </w:pPr>
          </w:p>
          <w:p w14:paraId="70DD4F8F">
            <w:pPr>
              <w:spacing w:line="240" w:lineRule="atLeast"/>
              <w:rPr>
                <w:rFonts w:ascii="宋体" w:hAnsi="宋体"/>
                <w:szCs w:val="21"/>
              </w:rPr>
            </w:pPr>
          </w:p>
          <w:p w14:paraId="492A92F5">
            <w:pPr>
              <w:spacing w:line="240" w:lineRule="atLeast"/>
              <w:rPr>
                <w:rFonts w:ascii="宋体" w:hAnsi="宋体"/>
                <w:szCs w:val="21"/>
              </w:rPr>
            </w:pPr>
          </w:p>
          <w:p w14:paraId="2C7EE866">
            <w:pPr>
              <w:spacing w:line="240" w:lineRule="atLeast"/>
              <w:rPr>
                <w:rFonts w:ascii="宋体" w:hAnsi="宋体"/>
                <w:szCs w:val="21"/>
              </w:rPr>
            </w:pPr>
          </w:p>
          <w:p w14:paraId="0FCBB159">
            <w:pPr>
              <w:spacing w:line="240" w:lineRule="atLeast"/>
              <w:rPr>
                <w:rFonts w:ascii="宋体" w:hAnsi="宋体"/>
                <w:szCs w:val="21"/>
              </w:rPr>
            </w:pPr>
          </w:p>
          <w:p w14:paraId="7ACA2E97">
            <w:pPr>
              <w:spacing w:line="240" w:lineRule="atLeast"/>
              <w:rPr>
                <w:rFonts w:ascii="宋体" w:hAnsi="宋体"/>
                <w:szCs w:val="21"/>
              </w:rPr>
            </w:pPr>
          </w:p>
        </w:tc>
      </w:tr>
      <w:tr w14:paraId="50DB73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09" w:hRule="atLeast"/>
          <w:jc w:val="center"/>
        </w:trPr>
        <w:tc>
          <w:tcPr>
            <w:tcW w:w="1562" w:type="dxa"/>
            <w:gridSpan w:val="2"/>
            <w:vAlign w:val="center"/>
          </w:tcPr>
          <w:p w14:paraId="07727D77">
            <w:pPr>
              <w:spacing w:line="240" w:lineRule="atLeast"/>
              <w:jc w:val="center"/>
              <w:rPr>
                <w:rFonts w:ascii="宋体" w:hAnsi="宋体"/>
                <w:szCs w:val="21"/>
              </w:rPr>
            </w:pPr>
            <w:r>
              <w:rPr>
                <w:rFonts w:hint="eastAsia" w:ascii="宋体" w:hAnsi="宋体"/>
                <w:szCs w:val="21"/>
              </w:rPr>
              <w:t>采购人意见</w:t>
            </w:r>
          </w:p>
          <w:p w14:paraId="72133A30">
            <w:pPr>
              <w:spacing w:line="240" w:lineRule="atLeast"/>
              <w:jc w:val="center"/>
              <w:rPr>
                <w:rFonts w:ascii="宋体" w:hAnsi="宋体"/>
                <w:szCs w:val="21"/>
              </w:rPr>
            </w:pPr>
            <w:r>
              <w:rPr>
                <w:rFonts w:hint="eastAsia" w:ascii="宋体" w:hAnsi="宋体"/>
                <w:szCs w:val="21"/>
              </w:rPr>
              <w:t>（公章）</w:t>
            </w:r>
          </w:p>
        </w:tc>
        <w:tc>
          <w:tcPr>
            <w:tcW w:w="7355" w:type="dxa"/>
            <w:gridSpan w:val="4"/>
            <w:vAlign w:val="center"/>
          </w:tcPr>
          <w:p w14:paraId="444ED1B3">
            <w:pPr>
              <w:spacing w:line="240" w:lineRule="atLeast"/>
              <w:rPr>
                <w:rFonts w:ascii="宋体" w:hAnsi="宋体"/>
                <w:szCs w:val="21"/>
              </w:rPr>
            </w:pPr>
          </w:p>
          <w:p w14:paraId="07BD5378">
            <w:pPr>
              <w:spacing w:line="240" w:lineRule="atLeast"/>
              <w:rPr>
                <w:rFonts w:ascii="宋体" w:hAnsi="宋体"/>
                <w:szCs w:val="21"/>
              </w:rPr>
            </w:pPr>
            <w:r>
              <w:rPr>
                <w:rFonts w:hint="eastAsia" w:ascii="宋体" w:hAnsi="宋体"/>
                <w:szCs w:val="21"/>
              </w:rPr>
              <w:t xml:space="preserve">                                        </w:t>
            </w:r>
          </w:p>
          <w:p w14:paraId="1007B101">
            <w:pPr>
              <w:spacing w:line="240" w:lineRule="atLeast"/>
              <w:ind w:firstLine="3780" w:firstLineChars="1800"/>
              <w:rPr>
                <w:rFonts w:ascii="宋体" w:hAnsi="宋体"/>
                <w:szCs w:val="21"/>
              </w:rPr>
            </w:pPr>
          </w:p>
          <w:p w14:paraId="1788A0A4">
            <w:pPr>
              <w:spacing w:line="240" w:lineRule="atLeast"/>
              <w:ind w:firstLine="3780" w:firstLineChars="1800"/>
              <w:rPr>
                <w:rFonts w:ascii="宋体" w:hAnsi="宋体"/>
                <w:szCs w:val="21"/>
              </w:rPr>
            </w:pPr>
            <w:r>
              <w:rPr>
                <w:rFonts w:hint="eastAsia" w:ascii="宋体" w:hAnsi="宋体"/>
                <w:szCs w:val="21"/>
              </w:rPr>
              <w:t>日期：   年   月   日</w:t>
            </w:r>
          </w:p>
        </w:tc>
      </w:tr>
    </w:tbl>
    <w:p w14:paraId="0F6EDB5C">
      <w:pPr>
        <w:spacing w:line="240" w:lineRule="atLeast"/>
        <w:rPr>
          <w:rFonts w:ascii="宋体" w:hAnsi="宋体"/>
          <w:szCs w:val="21"/>
        </w:rPr>
      </w:pPr>
      <w:r>
        <w:rPr>
          <w:rFonts w:hint="eastAsia" w:ascii="宋体" w:hAnsi="宋体"/>
          <w:szCs w:val="21"/>
        </w:rPr>
        <w:t>说明：</w:t>
      </w:r>
    </w:p>
    <w:p w14:paraId="5BAB8757">
      <w:pPr>
        <w:spacing w:line="240" w:lineRule="atLeast"/>
        <w:rPr>
          <w:rFonts w:ascii="宋体" w:hAnsi="宋体"/>
          <w:szCs w:val="21"/>
        </w:rPr>
      </w:pPr>
      <w:r>
        <w:rPr>
          <w:rFonts w:hint="eastAsia" w:ascii="宋体" w:hAnsi="宋体"/>
          <w:szCs w:val="21"/>
        </w:rPr>
        <w:t>履约情况评价分为优、良、中、差四个等级，请在对应的框前打“√”，然后在“具体情况说明”一栏详细说明有关情况。</w:t>
      </w:r>
      <w:r>
        <w:rPr>
          <w:rFonts w:ascii="宋体" w:hAnsi="宋体"/>
          <w:szCs w:val="21"/>
        </w:rPr>
        <w:tab/>
      </w:r>
      <w:r>
        <w:rPr>
          <w:rFonts w:ascii="宋体" w:hAnsi="宋体"/>
          <w:szCs w:val="21"/>
        </w:rPr>
        <w:tab/>
      </w:r>
    </w:p>
    <w:p w14:paraId="7CDBC3CF">
      <w:pPr>
        <w:spacing w:line="240" w:lineRule="atLeast"/>
        <w:rPr>
          <w:rFonts w:ascii="宋体" w:hAnsi="宋体"/>
          <w:szCs w:val="21"/>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cols w:space="720" w:num="1"/>
          <w:titlePg/>
          <w:docGrid w:type="lines" w:linePitch="312" w:charSpace="0"/>
        </w:sectPr>
      </w:pPr>
    </w:p>
    <w:p w14:paraId="786140EA">
      <w:pPr>
        <w:jc w:val="center"/>
        <w:rPr>
          <w:rFonts w:ascii="宋体" w:hAnsi="宋体"/>
          <w:b/>
          <w:bCs/>
          <w:kern w:val="0"/>
          <w:sz w:val="24"/>
          <w:szCs w:val="20"/>
        </w:rPr>
      </w:pPr>
      <w:r>
        <w:rPr>
          <w:rFonts w:hint="eastAsia" w:ascii="宋体" w:hAnsi="宋体"/>
          <w:b/>
          <w:bCs/>
          <w:kern w:val="0"/>
          <w:sz w:val="24"/>
          <w:szCs w:val="20"/>
        </w:rPr>
        <w:t>第五章  附件</w:t>
      </w:r>
    </w:p>
    <w:p w14:paraId="5AF19A8B">
      <w:pPr>
        <w:jc w:val="center"/>
        <w:rPr>
          <w:rFonts w:ascii="宋体" w:hAnsi="宋体"/>
          <w:b/>
          <w:bCs/>
          <w:kern w:val="0"/>
          <w:sz w:val="24"/>
          <w:szCs w:val="20"/>
        </w:rPr>
      </w:pPr>
    </w:p>
    <w:p w14:paraId="4C75582F">
      <w:pPr>
        <w:pStyle w:val="6"/>
        <w:spacing w:before="0" w:after="0"/>
        <w:jc w:val="center"/>
      </w:pPr>
      <w:bookmarkStart w:id="27" w:name="_Toc73613644"/>
      <w:bookmarkStart w:id="28" w:name="_Toc73610162"/>
      <w:r>
        <w:rPr>
          <w:rFonts w:hint="eastAsia"/>
        </w:rPr>
        <w:t>一、财政部 工业和信息化部关于印发《政府采购促进中小企业发展管理办法》的通知</w:t>
      </w:r>
      <w:bookmarkEnd w:id="27"/>
      <w:bookmarkEnd w:id="28"/>
    </w:p>
    <w:p w14:paraId="41A8C1FE">
      <w:pPr>
        <w:pStyle w:val="37"/>
        <w:shd w:val="clear" w:color="auto" w:fill="FFFFFF"/>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财库〔2020〕46号</w:t>
      </w:r>
    </w:p>
    <w:p w14:paraId="3273F07D">
      <w:pPr>
        <w:pStyle w:val="37"/>
        <w:shd w:val="clear" w:color="auto" w:fill="FFFFFF"/>
        <w:spacing w:before="0" w:beforeAutospacing="0" w:after="0" w:afterAutospacing="0" w:line="360" w:lineRule="auto"/>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各中央预算单位办公厅（室），各省、自治区、直辖市、计划单列市财政厅（局）、工业和信息化主管部门，新疆生产建设兵团财政局、工业和信息化主管部门：</w:t>
      </w:r>
    </w:p>
    <w:p w14:paraId="2A1D627C">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7F4B3DC">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附件：政府采购促进中小企业发展管理办法</w:t>
      </w:r>
    </w:p>
    <w:p w14:paraId="04DB8F23">
      <w:pPr>
        <w:pStyle w:val="37"/>
        <w:shd w:val="clear" w:color="auto" w:fill="FFFFFF"/>
        <w:spacing w:before="0" w:beforeAutospacing="0" w:after="0" w:afterAutospacing="0" w:line="360" w:lineRule="auto"/>
        <w:jc w:val="right"/>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财　　政　　部</w:t>
      </w:r>
    </w:p>
    <w:p w14:paraId="1447179A">
      <w:pPr>
        <w:pStyle w:val="37"/>
        <w:shd w:val="clear" w:color="auto" w:fill="FFFFFF"/>
        <w:spacing w:before="0" w:beforeAutospacing="0" w:after="0" w:afterAutospacing="0" w:line="360" w:lineRule="auto"/>
        <w:jc w:val="right"/>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工业和信息化部</w:t>
      </w:r>
    </w:p>
    <w:p w14:paraId="4CBB4F77">
      <w:pPr>
        <w:pStyle w:val="37"/>
        <w:shd w:val="clear" w:color="auto" w:fill="FFFFFF"/>
        <w:spacing w:before="0" w:beforeAutospacing="0" w:after="0" w:afterAutospacing="0" w:line="360" w:lineRule="auto"/>
        <w:jc w:val="right"/>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2020年12月18日</w:t>
      </w:r>
    </w:p>
    <w:p w14:paraId="01B42C53">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p>
    <w:p w14:paraId="4C1C9E09">
      <w:pPr>
        <w:pStyle w:val="37"/>
        <w:shd w:val="clear" w:color="auto" w:fill="FFFFFF"/>
        <w:spacing w:before="0" w:beforeAutospacing="0" w:after="0" w:afterAutospacing="0" w:line="360" w:lineRule="auto"/>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附件</w:t>
      </w:r>
    </w:p>
    <w:p w14:paraId="3446B870">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p>
    <w:p w14:paraId="780A02DD">
      <w:pPr>
        <w:pStyle w:val="37"/>
        <w:shd w:val="clear" w:color="auto" w:fill="FFFFFF"/>
        <w:spacing w:before="0" w:beforeAutospacing="0" w:after="0" w:afterAutospacing="0" w:line="360" w:lineRule="auto"/>
        <w:jc w:val="center"/>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政府采购促进中小企业发展管理办法</w:t>
      </w:r>
    </w:p>
    <w:p w14:paraId="69421DF8">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p>
    <w:p w14:paraId="688783A4">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第一条</w:t>
      </w:r>
      <w:r>
        <w:rPr>
          <w:rFonts w:hint="eastAsia" w:asciiTheme="minorEastAsia" w:hAnsiTheme="minorEastAsia" w:eastAsiaTheme="minorEastAsia"/>
          <w:color w:val="333333"/>
          <w:sz w:val="21"/>
          <w:szCs w:val="21"/>
        </w:rPr>
        <w:t>　为了发挥政府采购的政策功能，促进中小企业健康发展，根据《中华人民共和国政府采购法》、《中华人民共和国中小企业促进法》等有关法律法规，制定本办法。</w:t>
      </w:r>
    </w:p>
    <w:p w14:paraId="280C0EB0">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第二条</w:t>
      </w:r>
      <w:r>
        <w:rPr>
          <w:rFonts w:hint="eastAsia" w:asciiTheme="minorEastAsia" w:hAnsiTheme="minorEastAsia" w:eastAsiaTheme="minorEastAsia"/>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BC7DD43">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符合中小企业划分标准的个体工商户，在政府采购活动中视同中小企业。</w:t>
      </w:r>
    </w:p>
    <w:p w14:paraId="3444D43A">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第三条</w:t>
      </w:r>
      <w:r>
        <w:rPr>
          <w:rFonts w:hint="eastAsia" w:asciiTheme="minorEastAsia" w:hAnsiTheme="minorEastAsia" w:eastAsiaTheme="minorEastAsia"/>
          <w:color w:val="333333"/>
          <w:sz w:val="21"/>
          <w:szCs w:val="21"/>
        </w:rPr>
        <w:t>　采购人在政府采购活动中应当通过加强采购需求管理，落实预留采购份额、价格评审优惠、优先采购等措施，提高中小企业在政府采购中的份额，支持中小企业发展。</w:t>
      </w:r>
    </w:p>
    <w:p w14:paraId="5BFD5DB7">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第四条</w:t>
      </w:r>
      <w:r>
        <w:rPr>
          <w:rFonts w:hint="eastAsia" w:asciiTheme="minorEastAsia" w:hAnsiTheme="minorEastAsia" w:eastAsiaTheme="minorEastAsia"/>
          <w:color w:val="333333"/>
          <w:sz w:val="21"/>
          <w:szCs w:val="21"/>
        </w:rPr>
        <w:t>　在政府采购活动中，供应商提供的货物、工程或者服务符合下列情形的，享受本办法规定的中小企业扶持政策：</w:t>
      </w:r>
    </w:p>
    <w:p w14:paraId="2919430F">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（一）在货物采购项目中，货物由中小企业制造，即货物由中小企业生产且使用该中小企业商号或者注册商标；</w:t>
      </w:r>
    </w:p>
    <w:p w14:paraId="5AAF7F83">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（二）在工程采购项目中，工程由中小企业承建，即工程施工单位为中小企业；</w:t>
      </w:r>
    </w:p>
    <w:p w14:paraId="43B4CDC9">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（三）在服务采购项目中，服务由中小企业承接，即提供服务的人员为中小企业依照《中华人民共和国劳动合同法》订立劳动合同的从业人员。</w:t>
      </w:r>
    </w:p>
    <w:p w14:paraId="6E5BC306">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在货物采购项目中，供应商提供的货物既有中小企业制造货物，也有大型企业制造货物的，不享受本办法规定的中小企业扶持政策。</w:t>
      </w:r>
    </w:p>
    <w:p w14:paraId="7816AD2B">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以联合体形式参加政府采购活动，联合体各方均为中小企业的，联合体视同中小企业。其中，联合体各方均为小微企业的，联合体视同小微企业。</w:t>
      </w:r>
    </w:p>
    <w:p w14:paraId="51167343">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第五条</w:t>
      </w:r>
      <w:r>
        <w:rPr>
          <w:rFonts w:hint="eastAsia" w:asciiTheme="minorEastAsia" w:hAnsiTheme="minorEastAsia" w:eastAsiaTheme="minorEastAsia"/>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65EB74A">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第六条</w:t>
      </w:r>
      <w:r>
        <w:rPr>
          <w:rFonts w:hint="eastAsia" w:asciiTheme="minorEastAsia" w:hAnsiTheme="minorEastAsia" w:eastAsiaTheme="minorEastAsia"/>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2DCD578">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符合下列情形之一的，可不专门面向中小企业预留采购份额：</w:t>
      </w:r>
    </w:p>
    <w:p w14:paraId="0F9867D0">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（一）法律法规和国家有关政策明确规定优先或者应当面向事业单位、社会组织等非企业主体采购的；</w:t>
      </w:r>
    </w:p>
    <w:p w14:paraId="24253436">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（二）因确需使用不可替代的专利、专有技术，基础设施限制，或者提供特定公共服务等原因，只能从中小企业之外的供应商处采购的；</w:t>
      </w:r>
    </w:p>
    <w:p w14:paraId="331AA116">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（三）按照本办法规定预留采购份额无法确保充分供应、充分竞争，或者存在可能影响政府采购目标实现的情形；</w:t>
      </w:r>
    </w:p>
    <w:p w14:paraId="35CF2933">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（四）框架协议采购项目；</w:t>
      </w:r>
    </w:p>
    <w:p w14:paraId="0D20D38F">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（五）省级以上人民政府财政部门规定的其他情形。</w:t>
      </w:r>
    </w:p>
    <w:p w14:paraId="779194CD">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除上述情形外，其他均为适宜由中小企业提供的情形。</w:t>
      </w:r>
    </w:p>
    <w:p w14:paraId="746A2EC7">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第七条</w:t>
      </w:r>
      <w:r>
        <w:rPr>
          <w:rFonts w:hint="eastAsia" w:asciiTheme="minorEastAsia" w:hAnsiTheme="minorEastAsia" w:eastAsiaTheme="minorEastAsia"/>
          <w:color w:val="333333"/>
          <w:sz w:val="21"/>
          <w:szCs w:val="21"/>
        </w:rPr>
        <w:t>　采购限额标准以上，200万元以下的货物和服务采购项目、400万元以下的工程采购项目，适宜由中小企业提供的，采购人应当专门面向中小企业采购。</w:t>
      </w:r>
    </w:p>
    <w:p w14:paraId="3AFF35D2">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第八条</w:t>
      </w:r>
      <w:r>
        <w:rPr>
          <w:rFonts w:hint="eastAsia" w:asciiTheme="minorEastAsia" w:hAnsiTheme="minorEastAsia" w:eastAsiaTheme="minorEastAsia"/>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E745ECD">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（一）将采购项目整体或者设置采购包专门面向中小企业采购；</w:t>
      </w:r>
    </w:p>
    <w:p w14:paraId="62B2AE06">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（二）要求供应商以联合体形式参加采购活动，且联合体中中小企业承担的部分达到一定比例；</w:t>
      </w:r>
    </w:p>
    <w:p w14:paraId="60B981A3">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（三）要求获得采购合同的供应商将采购项目中的一定比例分包给一家或者多家中小企业。</w:t>
      </w:r>
    </w:p>
    <w:p w14:paraId="55BAA92B">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组成联合体或者接受分包合同的中小企业与联合体内其他企业、分包企业之间不得存在直接控股、管理关系。</w:t>
      </w:r>
    </w:p>
    <w:p w14:paraId="291AB9EC">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第九条</w:t>
      </w:r>
      <w:r>
        <w:rPr>
          <w:rFonts w:hint="eastAsia" w:asciiTheme="minorEastAsia" w:hAnsiTheme="minorEastAsia" w:eastAsiaTheme="minorEastAsia"/>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820052E">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494DA37">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EFB4AE0">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第十条</w:t>
      </w:r>
      <w:r>
        <w:rPr>
          <w:rFonts w:hint="eastAsia" w:asciiTheme="minorEastAsia" w:hAnsiTheme="minorEastAsia" w:eastAsiaTheme="minorEastAsia"/>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01FB4EF">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第十一条</w:t>
      </w:r>
      <w:r>
        <w:rPr>
          <w:rFonts w:hint="eastAsia" w:asciiTheme="minorEastAsia" w:hAnsiTheme="minorEastAsia" w:eastAsiaTheme="minorEastAsia"/>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BFA559">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第十二条</w:t>
      </w:r>
      <w:r>
        <w:rPr>
          <w:rFonts w:hint="eastAsia" w:asciiTheme="minorEastAsia" w:hAnsiTheme="minorEastAsia" w:eastAsiaTheme="minorEastAsia"/>
          <w:color w:val="333333"/>
          <w:sz w:val="21"/>
          <w:szCs w:val="21"/>
        </w:rPr>
        <w:t>　采购项目涉及中小企业采购的，采购文件应当明确以下内容：</w:t>
      </w:r>
    </w:p>
    <w:p w14:paraId="55CF59AF">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（一）预留份额的采购项目或者采购包，明确该项目或相关采购包专门面向中小企业采购，以及相关标的及预算金额；</w:t>
      </w:r>
    </w:p>
    <w:p w14:paraId="415A8B87">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（二）要求以联合体形式参加或者合同分包的，明确联合协议或者分包意向协议中中小企业合同金额应当达到的比例，并作为供应商资格条件；</w:t>
      </w:r>
    </w:p>
    <w:p w14:paraId="13E9FF75">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（三）非预留份额的采购项目或者采购包，明确有关价格扣除比例或者价格分加分比例；</w:t>
      </w:r>
    </w:p>
    <w:p w14:paraId="10D82E82">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（四）规定依据本办法规定享受扶持政策获得政府采购合同的，小微企业不得将合同分包给大中型企业，中型企业不得将合同分包给大型企业；</w:t>
      </w:r>
    </w:p>
    <w:p w14:paraId="2D8AF001">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（五）采购人认为具备相关条件的，明确对中小企业在资金支付期限、预付款比例等方面的优惠措施；</w:t>
      </w:r>
    </w:p>
    <w:p w14:paraId="33B9254B">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（六）明确采购标的对应的中小企业划分标准所属行业；</w:t>
      </w:r>
    </w:p>
    <w:p w14:paraId="722D189E">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（七）法律法规和省级以上人民政府财政部门规定的其他事项。</w:t>
      </w:r>
    </w:p>
    <w:p w14:paraId="4C34B8AA">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第十三条</w:t>
      </w:r>
      <w:r>
        <w:rPr>
          <w:rFonts w:hint="eastAsia" w:asciiTheme="minorEastAsia" w:hAnsiTheme="minorEastAsia" w:eastAsiaTheme="minorEastAsia"/>
          <w:color w:val="333333"/>
          <w:sz w:val="21"/>
          <w:szCs w:val="21"/>
        </w:rPr>
        <w:t>　中标、成交供应商享受本办法规定的中小企业扶持政策的，采购人、采购代理机构应当随中标、成交结果公开中标、成交供应商的《中小企业声明函》。</w:t>
      </w:r>
    </w:p>
    <w:p w14:paraId="7C593D6B">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适用招标投标法的政府采购工程建设项目，应当在公示中标候选人时公开中标候选人的《中小企业声明函》。</w:t>
      </w:r>
    </w:p>
    <w:p w14:paraId="23A0A0B4">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第十四条</w:t>
      </w:r>
      <w:r>
        <w:rPr>
          <w:rFonts w:hint="eastAsia" w:asciiTheme="minorEastAsia" w:hAnsiTheme="minorEastAsia" w:eastAsiaTheme="minorEastAsia"/>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5768812">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第十五条</w:t>
      </w:r>
      <w:r>
        <w:rPr>
          <w:rFonts w:hint="eastAsia" w:asciiTheme="minorEastAsia" w:hAnsiTheme="minorEastAsia" w:eastAsiaTheme="minorEastAsia"/>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14:paraId="5EDEC5AE">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第十六条</w:t>
      </w:r>
      <w:r>
        <w:rPr>
          <w:rFonts w:hint="eastAsia" w:asciiTheme="minorEastAsia" w:hAnsiTheme="minorEastAsia" w:eastAsiaTheme="minorEastAsia"/>
          <w:color w:val="333333"/>
          <w:sz w:val="21"/>
          <w:szCs w:val="21"/>
        </w:rPr>
        <w:t>　政府采购监督检查、投诉处理及政府采购行政处罚中对中小企业的认定，由货物制造商或者工程、服务供应商注册登记所在地的县级以上人民政府中小企业主管部门负责。</w:t>
      </w:r>
    </w:p>
    <w:p w14:paraId="02EB47C4">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中小企业主管部门应当在收到财政部门或者有关招标投标行政监督部门关于协助开展中小企业认定函后10个工作日内做出书面答复。</w:t>
      </w:r>
    </w:p>
    <w:p w14:paraId="4F2F542A">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第十七条</w:t>
      </w:r>
      <w:r>
        <w:rPr>
          <w:rFonts w:hint="eastAsia" w:asciiTheme="minorEastAsia" w:hAnsiTheme="minorEastAsia" w:eastAsiaTheme="minorEastAsia"/>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14:paraId="0C738EB1">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第十八条</w:t>
      </w:r>
      <w:r>
        <w:rPr>
          <w:rFonts w:hint="eastAsia" w:asciiTheme="minorEastAsia" w:hAnsiTheme="minorEastAsia" w:eastAsiaTheme="minorEastAsia"/>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274A989D">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第十九条</w:t>
      </w:r>
      <w:r>
        <w:rPr>
          <w:rFonts w:hint="eastAsia" w:asciiTheme="minorEastAsia" w:hAnsiTheme="minorEastAsia" w:eastAsiaTheme="minorEastAsia"/>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39C165E">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第二十条</w:t>
      </w:r>
      <w:r>
        <w:rPr>
          <w:rFonts w:hint="eastAsia" w:asciiTheme="minorEastAsia" w:hAnsiTheme="minorEastAsia" w:eastAsiaTheme="minorEastAsia"/>
          <w:color w:val="333333"/>
          <w:sz w:val="21"/>
          <w:szCs w:val="21"/>
        </w:rPr>
        <w:t>　供应商按照本办法规定提供声明函内容不实的，属于提供虚假材料谋取中标、成交，依照《中华人民共和国政府采购法》等国家有关规定追究相应责任。</w:t>
      </w:r>
    </w:p>
    <w:p w14:paraId="0E441D8C">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14:paraId="1655D197">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第二十一条</w:t>
      </w:r>
      <w:r>
        <w:rPr>
          <w:rFonts w:hint="eastAsia" w:asciiTheme="minorEastAsia" w:hAnsiTheme="minorEastAsia" w:eastAsiaTheme="minorEastAsia"/>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E5E2AE4">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第二十二条</w:t>
      </w:r>
      <w:r>
        <w:rPr>
          <w:rFonts w:hint="eastAsia" w:asciiTheme="minorEastAsia" w:hAnsiTheme="minorEastAsia" w:eastAsiaTheme="minorEastAsia"/>
          <w:color w:val="333333"/>
          <w:sz w:val="21"/>
          <w:szCs w:val="21"/>
        </w:rPr>
        <w:t>　对外援助项目、国家相关资格或者资质管理制度另有规定的项目，不适用本办法。</w:t>
      </w:r>
    </w:p>
    <w:p w14:paraId="025CA9F3">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第二十三条</w:t>
      </w:r>
      <w:r>
        <w:rPr>
          <w:rFonts w:hint="eastAsia" w:asciiTheme="minorEastAsia" w:hAnsiTheme="minorEastAsia" w:eastAsiaTheme="minorEastAsia"/>
          <w:color w:val="333333"/>
          <w:sz w:val="21"/>
          <w:szCs w:val="21"/>
        </w:rPr>
        <w:t>　关于视同中小企业的其他主体的政府采购扶持政策，由财政部会同有关部门另行规定。</w:t>
      </w:r>
    </w:p>
    <w:p w14:paraId="263E8EC6">
      <w:pPr>
        <w:pStyle w:val="37"/>
        <w:shd w:val="clear" w:color="auto" w:fill="FFFFFF"/>
        <w:spacing w:before="0" w:beforeAutospacing="0" w:after="0" w:afterAutospacing="0" w:line="360" w:lineRule="auto"/>
        <w:ind w:firstLine="480"/>
        <w:jc w:val="both"/>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第二十四条</w:t>
      </w:r>
      <w:r>
        <w:rPr>
          <w:rFonts w:hint="eastAsia" w:asciiTheme="minorEastAsia" w:hAnsiTheme="minorEastAsia" w:eastAsiaTheme="minorEastAsia"/>
          <w:color w:val="333333"/>
          <w:sz w:val="21"/>
          <w:szCs w:val="21"/>
        </w:rPr>
        <w:t>　省级财政部门可以会同中小企业主管部门根据本办法的规定制定具体实施办法。</w:t>
      </w:r>
    </w:p>
    <w:p w14:paraId="12ACCC87">
      <w:pPr>
        <w:pStyle w:val="37"/>
        <w:shd w:val="clear" w:color="auto" w:fill="FFFFFF"/>
        <w:spacing w:before="0" w:beforeAutospacing="0" w:after="0" w:afterAutospacing="0" w:line="360" w:lineRule="auto"/>
        <w:ind w:firstLine="480"/>
        <w:rPr>
          <w:rFonts w:asciiTheme="minorEastAsia" w:hAnsiTheme="minorEastAsia" w:eastAsiaTheme="minorEastAsia"/>
          <w:color w:val="333333"/>
          <w:sz w:val="21"/>
          <w:szCs w:val="21"/>
        </w:rPr>
      </w:pPr>
      <w:r>
        <w:rPr>
          <w:rFonts w:hint="eastAsia" w:asciiTheme="minorEastAsia" w:hAnsiTheme="minorEastAsia" w:eastAsiaTheme="minorEastAsia"/>
          <w:b/>
          <w:bCs/>
          <w:color w:val="333333"/>
          <w:sz w:val="21"/>
          <w:szCs w:val="21"/>
        </w:rPr>
        <w:t>第二十五条</w:t>
      </w:r>
      <w:r>
        <w:rPr>
          <w:rFonts w:hint="eastAsia" w:asciiTheme="minorEastAsia" w:hAnsiTheme="minorEastAsia" w:eastAsiaTheme="minorEastAsia"/>
          <w:color w:val="333333"/>
          <w:sz w:val="21"/>
          <w:szCs w:val="21"/>
        </w:rPr>
        <w:t>　本办法自2021年1月1日起施行。《财政部 工业和信息化部关于印发〈政府采购促进中小企业发展暂行办法〉的通知》（财库〔2011〕181号）同时废止。</w:t>
      </w:r>
    </w:p>
    <w:p w14:paraId="78CD9BD5">
      <w:pPr>
        <w:pStyle w:val="37"/>
        <w:shd w:val="clear" w:color="auto" w:fill="FFFFFF"/>
        <w:spacing w:before="0" w:beforeAutospacing="0" w:after="0" w:afterAutospacing="0" w:line="360" w:lineRule="auto"/>
        <w:ind w:firstLine="480"/>
        <w:rPr>
          <w:rFonts w:asciiTheme="minorEastAsia" w:hAnsiTheme="minorEastAsia" w:eastAsiaTheme="minorEastAsia"/>
          <w:color w:val="333333"/>
          <w:sz w:val="21"/>
          <w:szCs w:val="21"/>
        </w:rPr>
      </w:pPr>
    </w:p>
    <w:p w14:paraId="29E3CF5D">
      <w:pPr>
        <w:spacing w:line="360" w:lineRule="auto"/>
        <w:rPr>
          <w:rFonts w:asciiTheme="minorEastAsia" w:hAnsiTheme="minorEastAsia" w:eastAsiaTheme="minorEastAsia"/>
          <w:szCs w:val="21"/>
        </w:rPr>
      </w:pPr>
    </w:p>
    <w:p w14:paraId="3C37A92B">
      <w:pPr>
        <w:pStyle w:val="6"/>
        <w:spacing w:before="0" w:after="0"/>
        <w:jc w:val="center"/>
      </w:pPr>
      <w:bookmarkStart w:id="29" w:name="_Toc73610163"/>
      <w:bookmarkStart w:id="30" w:name="_Toc73613645"/>
      <w:r>
        <w:rPr>
          <w:rFonts w:hint="eastAsia"/>
        </w:rPr>
        <w:t>二、关于印发中小企业划型标准规定的通知</w:t>
      </w:r>
      <w:bookmarkEnd w:id="29"/>
      <w:bookmarkEnd w:id="30"/>
    </w:p>
    <w:p w14:paraId="5836FC33">
      <w:pPr>
        <w:pStyle w:val="37"/>
        <w:shd w:val="clear" w:color="auto" w:fill="FFFFFF"/>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工信部联企业〔2011〕300号</w:t>
      </w:r>
    </w:p>
    <w:p w14:paraId="717BF8FC">
      <w:pPr>
        <w:pStyle w:val="37"/>
        <w:shd w:val="clear" w:color="auto" w:fill="FFFFFF"/>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各省、自治区、直辖市人民政府，国务院各部委、各直属机构及有关单位：</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EF6ECD2">
      <w:pPr>
        <w:pStyle w:val="37"/>
        <w:shd w:val="clear" w:color="auto" w:fill="FFFFFF"/>
        <w:spacing w:line="360" w:lineRule="auto"/>
        <w:jc w:val="righ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工业和信息化部　国家统计局</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国家发展和改革委员会　财政部</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二○一一年六月十八日</w:t>
      </w:r>
    </w:p>
    <w:p w14:paraId="77B34B40">
      <w:pPr>
        <w:pStyle w:val="37"/>
        <w:shd w:val="clear" w:color="auto" w:fill="FFFFFF"/>
        <w:spacing w:line="360" w:lineRule="auto"/>
        <w:jc w:val="center"/>
        <w:rPr>
          <w:rFonts w:asciiTheme="minorEastAsia" w:hAnsiTheme="minorEastAsia" w:eastAsiaTheme="minorEastAsia"/>
          <w:color w:val="000000"/>
          <w:sz w:val="21"/>
          <w:szCs w:val="21"/>
        </w:rPr>
      </w:pPr>
      <w:r>
        <w:rPr>
          <w:rStyle w:val="45"/>
          <w:rFonts w:hint="eastAsia" w:asciiTheme="minorEastAsia" w:hAnsiTheme="minorEastAsia" w:eastAsiaTheme="minorEastAsia"/>
          <w:color w:val="000000"/>
          <w:sz w:val="21"/>
          <w:szCs w:val="21"/>
        </w:rPr>
        <w:t>中小企业划型标准规定</w:t>
      </w:r>
    </w:p>
    <w:p w14:paraId="09968051">
      <w:pPr>
        <w:pStyle w:val="37"/>
        <w:shd w:val="clear" w:color="auto" w:fill="FFFFFF"/>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一、根据《中华人民共和国中小企业促进法》和《国务院关于进一步促进中小企业发展的若干意见》(国发〔2009〕36号)，制定本规定。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二、中小企业划分为中型、小型、微型三种类型，具体标准根据企业从业人员、营业收入、资产总额等指标，结合行业特点制定。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四、各行业划型标准为：</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五、企业类型的划分以统计部门的统计数据为依据。</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八、本规定由工业和信息化部、国家统计局会同有关部门根据《国民经济行业分类》修订情况和企业发展变化情况适时修订。</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九、本规定由工业和信息化部、国家统计局会同有关部门负责解释。</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十、本规定自发布之日起执行，原国家经贸委、原国家计委、财政部和国家统计局2003年颁布的《中小企业标准暂行规定》同时废止。</w:t>
      </w:r>
    </w:p>
    <w:p w14:paraId="69E7667C">
      <w:pPr>
        <w:pStyle w:val="37"/>
        <w:shd w:val="clear" w:color="auto" w:fill="FFFFFF"/>
        <w:spacing w:line="360" w:lineRule="auto"/>
        <w:rPr>
          <w:rFonts w:asciiTheme="minorEastAsia" w:hAnsiTheme="minorEastAsia" w:eastAsiaTheme="minorEastAsia"/>
          <w:color w:val="000000"/>
          <w:sz w:val="21"/>
          <w:szCs w:val="21"/>
        </w:rPr>
      </w:pPr>
    </w:p>
    <w:p w14:paraId="1B8FBD2C">
      <w:pPr>
        <w:pStyle w:val="6"/>
        <w:spacing w:before="0" w:after="0"/>
        <w:jc w:val="center"/>
        <w:rPr>
          <w:rFonts w:asciiTheme="minorEastAsia" w:hAnsiTheme="minorEastAsia" w:eastAsiaTheme="minorEastAsia"/>
        </w:rPr>
      </w:pPr>
      <w:bookmarkStart w:id="31" w:name="_Toc73613646"/>
      <w:bookmarkStart w:id="32" w:name="_Toc73610164"/>
      <w:r>
        <w:rPr>
          <w:rFonts w:hint="eastAsia" w:asciiTheme="minorEastAsia" w:hAnsiTheme="minorEastAsia" w:eastAsiaTheme="minorEastAsia"/>
          <w:bCs w:val="0"/>
        </w:rPr>
        <w:t>三、</w:t>
      </w:r>
      <w:r>
        <w:rPr>
          <w:rFonts w:asciiTheme="minorEastAsia" w:hAnsiTheme="minorEastAsia" w:eastAsiaTheme="minorEastAsia"/>
          <w:bCs w:val="0"/>
        </w:rPr>
        <w:t>国家统计局关于印发《统计上大中小微型企业划分办法 （2017）》的通知</w:t>
      </w:r>
      <w:bookmarkEnd w:id="31"/>
      <w:bookmarkEnd w:id="32"/>
      <w:r>
        <w:rPr>
          <w:rFonts w:asciiTheme="minorEastAsia" w:hAnsiTheme="minorEastAsia" w:eastAsiaTheme="minorEastAsia"/>
          <w:bCs w:val="0"/>
        </w:rPr>
        <w:t> </w:t>
      </w:r>
    </w:p>
    <w:p w14:paraId="0FB64294">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14AD6BF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76C60E0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0D3DA3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8019A56">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88104F2">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266F6994">
      <w:pPr>
        <w:widowControl/>
        <w:spacing w:line="360" w:lineRule="auto"/>
        <w:jc w:val="center"/>
        <w:rPr>
          <w:rFonts w:cs="宋体" w:asciiTheme="minorEastAsia" w:hAnsiTheme="minorEastAsia" w:eastAsiaTheme="minorEastAsia"/>
          <w:b/>
          <w:bCs/>
          <w:kern w:val="0"/>
          <w:szCs w:val="21"/>
        </w:rPr>
      </w:pPr>
    </w:p>
    <w:p w14:paraId="48F77017">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C748B47">
      <w:pPr>
        <w:widowControl/>
        <w:spacing w:line="360" w:lineRule="auto"/>
        <w:jc w:val="left"/>
        <w:rPr>
          <w:rFonts w:cs="宋体" w:asciiTheme="minorEastAsia" w:hAnsiTheme="minorEastAsia" w:eastAsiaTheme="minorEastAsia"/>
          <w:kern w:val="0"/>
          <w:szCs w:val="21"/>
        </w:rPr>
      </w:pPr>
    </w:p>
    <w:p w14:paraId="2E7711BB">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0356018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706C793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7DD1AF9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5AE801F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70EE15FA">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503E7CD8">
      <w:pPr>
        <w:widowControl/>
        <w:spacing w:line="360" w:lineRule="auto"/>
        <w:jc w:val="left"/>
        <w:rPr>
          <w:rFonts w:cs="宋体" w:asciiTheme="minorEastAsia" w:hAnsiTheme="minorEastAsia" w:eastAsiaTheme="minorEastAsia"/>
          <w:kern w:val="0"/>
          <w:szCs w:val="21"/>
        </w:rPr>
      </w:pPr>
    </w:p>
    <w:p w14:paraId="2F6B3A8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332F30D">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6AA1DB49">
      <w:pPr>
        <w:widowControl/>
        <w:spacing w:line="360" w:lineRule="auto"/>
        <w:jc w:val="left"/>
        <w:rPr>
          <w:rFonts w:cs="宋体" w:asciiTheme="minorEastAsia" w:hAnsiTheme="minorEastAsia" w:eastAsiaTheme="minorEastAsia"/>
          <w:kern w:val="0"/>
          <w:szCs w:val="21"/>
        </w:rPr>
      </w:pPr>
    </w:p>
    <w:p w14:paraId="0BC8433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5CB38B9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B64F3C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48D198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5C4FFC5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FC56A1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4C01BB3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409DF568">
      <w:pPr>
        <w:widowControl/>
        <w:spacing w:line="360" w:lineRule="auto"/>
        <w:jc w:val="left"/>
        <w:rPr>
          <w:rFonts w:cs="宋体" w:asciiTheme="minorEastAsia" w:hAnsiTheme="minorEastAsia" w:eastAsiaTheme="minorEastAsia"/>
          <w:kern w:val="0"/>
          <w:szCs w:val="21"/>
        </w:rPr>
      </w:pPr>
    </w:p>
    <w:p w14:paraId="2851B57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0859B15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42"/>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7C10DECE">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8783337">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5BAE7D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1ECE824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58E668E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A37EB0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559FD32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691DFEC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166BC52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3FE06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67D8517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ED27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C46476F">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6F0BB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6FA71AE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2EA12404">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7F9162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CEF328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6D8051B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6C809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BFF75C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392E82F">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55CBE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49AF1EA">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BB2C9D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8D77A0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4C454F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7D1C28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2C79DB">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EB482BA">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3C0EACF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6A45DD6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5AAB45E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9B6419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2F5A221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09C6EC7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1BF78E3">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25213AC3">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F8172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452D266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A106E4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2606BC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5B2392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C0BBDD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C1331A0">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528CBC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52850E4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2D938B31">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2150CAF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75C98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5CD096C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91268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F903DC6">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2E131AA">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55090CE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0B4D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1B0E90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127A7D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311C39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2058C9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3B42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A353E0D">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39B80136">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65F814B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02D34C2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FEBA29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603E552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4327B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0C9C46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5200D58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2585DC9F">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139069D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3CE770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535905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EA56B4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594F6B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809A1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279CA7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6B491E1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63EC557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F735BC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ED2034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376C08F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4ADB42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F372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B4F206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6B513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C2650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CE7451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317E9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CDD37E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6D589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9D1B61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D6B01AD">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01356CB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184082F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0041FB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159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0B9BC6A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E4EA4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D13DDB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C25CA3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6EE09DA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4E3B1159">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ACBACD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4C2283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3D3F40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BC683C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FE6E242">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0C1C39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36455B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7DAC6C4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D39884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A241A8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0E9F126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80BA15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4B5E59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7D0841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1C13C2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237F5C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DD10AA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30E62D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3F0E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B356DC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964196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341CA0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415200E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1E8E5F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A0C2D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7E4829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A17CA6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C346C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4A9D1F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040D1B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7E98F2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076EAC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443D86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87E0D4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DB3B9A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45CFD5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519CC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2E6353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30B1FE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93A1CA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5D3811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26E8C2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5CDC1F8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60EBA1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5E278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4A8C0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ACA57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BDF175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338EE5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B8E97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BD0FF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03F819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C59F6C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1FA1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2EF1292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CE04C3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B89682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908FF9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31AEF6F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9DF6E6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C2AD1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30D1DE5">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5ECE46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E3FBB7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95166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52758A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B1702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6357F7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95F3C3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52CD401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40EF0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133204D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5B6A1B8">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C09F8C3">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5FEC8B3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74DAF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B37C9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8E1EE4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1A5C5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2BEF1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4DF3CE5">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501B0F61">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7C6E41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F63D6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FE8557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06B00F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2BF31E7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29A73E0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F56798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C9F64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103B2A6C">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A1A6A0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4EE9270">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79013EB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0CDD3B9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28C6F4D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29B6E8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7F6F14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794CB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506A7A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FC9BAA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70A0AC0B">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78DBCCD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30C14F55">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483EA5C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122055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3F6391A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82FFB1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66623B2">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0D02DC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2713BD6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27A0E41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31EFF22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1B9E2E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B258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36736D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0B96CD0">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1389B99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0D0A9C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410D9A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02E61D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84E342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2235E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5C2BB6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6E1BD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383025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C2745F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30C613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74F959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CD4D72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D5C48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E9E531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DD9FBF5">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9BF81C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2F6369B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5A5E3ADE">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71CFDBA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0263CD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234708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483DEBC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194E327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672DB6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3AF285B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3604E3E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27F3F77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692B9B5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099D707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F47177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1075020">
      <w:pPr>
        <w:spacing w:line="360" w:lineRule="auto"/>
        <w:rPr>
          <w:rFonts w:asciiTheme="minorEastAsia" w:hAnsiTheme="minorEastAsia" w:eastAsiaTheme="minorEastAsia"/>
          <w:szCs w:val="21"/>
        </w:rPr>
      </w:pPr>
    </w:p>
    <w:p w14:paraId="3166F3E3">
      <w:pPr>
        <w:pStyle w:val="6"/>
        <w:spacing w:before="0" w:after="0"/>
        <w:jc w:val="center"/>
      </w:pPr>
      <w:bookmarkStart w:id="33" w:name="_Toc73610165"/>
      <w:bookmarkStart w:id="34" w:name="_Toc73613647"/>
      <w:r>
        <w:rPr>
          <w:rFonts w:hint="eastAsia"/>
        </w:rPr>
        <w:t>四、</w:t>
      </w:r>
      <w:r>
        <w:t>财政部 民政部 中国残疾人联合会关于促进残疾人就业 政府采购政策的通知</w:t>
      </w:r>
      <w:bookmarkEnd w:id="33"/>
      <w:bookmarkEnd w:id="34"/>
      <w:r>
        <w:t xml:space="preserve"> </w:t>
      </w:r>
    </w:p>
    <w:p w14:paraId="7BFDB946">
      <w:pPr>
        <w:pStyle w:val="37"/>
        <w:shd w:val="clear" w:color="auto" w:fill="FFFFFF"/>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财库〔2017〕141号</w:t>
      </w:r>
    </w:p>
    <w:p w14:paraId="16F28E6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197822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43DE72C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494F16A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07AF91E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6782944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5A4F444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71AB970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50E8D84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0C94BB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1130A9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2F0F09D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178CF15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1CD34A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235FE7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F5C204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FD163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7C0FEF2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748170F">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48A7F3CE">
      <w:pPr>
        <w:widowControl/>
        <w:spacing w:line="360" w:lineRule="auto"/>
        <w:jc w:val="right"/>
        <w:rPr>
          <w:rFonts w:cs="宋体" w:asciiTheme="minorEastAsia" w:hAnsiTheme="minorEastAsia" w:eastAsiaTheme="minorEastAsia"/>
          <w:kern w:val="0"/>
          <w:szCs w:val="21"/>
        </w:rPr>
      </w:pPr>
    </w:p>
    <w:p w14:paraId="5B9DFE3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0DC05904">
      <w:pPr>
        <w:tabs>
          <w:tab w:val="left" w:pos="1875"/>
        </w:tabs>
      </w:pPr>
    </w:p>
    <w:p w14:paraId="029DE2CA"/>
    <w:p w14:paraId="62B87F86">
      <w:pPr>
        <w:pStyle w:val="6"/>
        <w:spacing w:before="0" w:after="0"/>
        <w:jc w:val="center"/>
      </w:pPr>
      <w:r>
        <w:rPr>
          <w:rFonts w:hint="eastAsia"/>
        </w:rPr>
        <w:t>五、财政部 司法部关于政府采购支持监狱企业发展有关问题的通知</w:t>
      </w:r>
      <w:r>
        <w:t xml:space="preserve"> </w:t>
      </w:r>
    </w:p>
    <w:p w14:paraId="41B3894D">
      <w:pPr>
        <w:widowControl/>
        <w:spacing w:line="360" w:lineRule="auto"/>
        <w:jc w:val="center"/>
        <w:rPr>
          <w:rFonts w:cs="宋体" w:asciiTheme="minorEastAsia" w:hAnsiTheme="minorEastAsia" w:eastAsiaTheme="minorEastAsia"/>
          <w:kern w:val="0"/>
          <w:szCs w:val="21"/>
        </w:rPr>
      </w:pPr>
    </w:p>
    <w:p w14:paraId="69789DEB">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160A76">
      <w:pPr>
        <w:widowControl/>
        <w:spacing w:line="360" w:lineRule="auto"/>
        <w:jc w:val="left"/>
        <w:rPr>
          <w:rFonts w:cs="宋体" w:asciiTheme="minorEastAsia" w:hAnsiTheme="minorEastAsia" w:eastAsiaTheme="minorEastAsia"/>
          <w:kern w:val="0"/>
          <w:szCs w:val="21"/>
        </w:rPr>
      </w:pPr>
    </w:p>
    <w:p w14:paraId="2B19091E">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B82F698">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0E8D592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2F3F89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DFF692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803755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3D9FA27B">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51D2E13">
      <w:pPr>
        <w:widowControl/>
        <w:spacing w:line="360" w:lineRule="auto"/>
        <w:jc w:val="left"/>
        <w:rPr>
          <w:rFonts w:cs="宋体" w:asciiTheme="minorEastAsia" w:hAnsiTheme="minorEastAsia" w:eastAsiaTheme="minorEastAsia"/>
          <w:kern w:val="0"/>
          <w:szCs w:val="21"/>
        </w:rPr>
      </w:pPr>
    </w:p>
    <w:p w14:paraId="5B08312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6E08BC0B">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2E2657F2">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6BF65DA8">
      <w:pPr>
        <w:widowControl/>
        <w:spacing w:line="360" w:lineRule="auto"/>
        <w:jc w:val="center"/>
        <w:rPr>
          <w:rFonts w:asciiTheme="majorEastAsia" w:hAnsiTheme="majorEastAsia" w:eastAsiaTheme="majorEastAsia"/>
          <w:b/>
          <w:sz w:val="32"/>
          <w:szCs w:val="32"/>
        </w:rPr>
      </w:pPr>
      <w:r>
        <w:rPr>
          <w:rFonts w:cs="宋体" w:asciiTheme="minorEastAsia" w:hAnsiTheme="minorEastAsia" w:eastAsiaTheme="minorEastAsia"/>
          <w:kern w:val="0"/>
          <w:szCs w:val="21"/>
        </w:rPr>
        <w:br w:type="page"/>
      </w:r>
      <w:r>
        <w:rPr>
          <w:rFonts w:hint="eastAsia" w:asciiTheme="majorEastAsia" w:hAnsiTheme="majorEastAsia" w:eastAsiaTheme="majorEastAsia"/>
          <w:b/>
          <w:sz w:val="32"/>
          <w:szCs w:val="32"/>
        </w:rPr>
        <w:t>第二册  通用条款（公开招标）</w:t>
      </w:r>
    </w:p>
    <w:p w14:paraId="30086E90">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bookmarkStart w:id="35" w:name="_Hlk72399513"/>
      <w:r>
        <w:rPr>
          <w:rFonts w:hint="eastAsia" w:asciiTheme="majorEastAsia" w:hAnsiTheme="majorEastAsia" w:eastAsiaTheme="majorEastAsia"/>
          <w:b/>
          <w:bCs/>
          <w:kern w:val="0"/>
          <w:sz w:val="28"/>
          <w:szCs w:val="28"/>
        </w:rPr>
        <w:t>总则</w:t>
      </w:r>
    </w:p>
    <w:bookmarkEnd w:id="35"/>
    <w:p w14:paraId="3BED2F78">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1. 通用条款说明</w:t>
      </w:r>
    </w:p>
    <w:p w14:paraId="489F867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1.1采购代理机构发出招标文件通用条款版本，列出深圳市政府采购项目进行招标采购所适用的通用条款内容。</w:t>
      </w:r>
      <w:bookmarkStart w:id="36" w:name="_Hlk72399729"/>
      <w:r>
        <w:rPr>
          <w:rFonts w:hint="eastAsia" w:asciiTheme="majorEastAsia" w:hAnsiTheme="majorEastAsia" w:eastAsiaTheme="majorEastAsia"/>
          <w:szCs w:val="21"/>
        </w:rPr>
        <w:t>如有需要，采购代理机构可以对通用条款的内容进行补充。</w:t>
      </w:r>
      <w:bookmarkEnd w:id="36"/>
    </w:p>
    <w:p w14:paraId="2C779DB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1.2招标文件分为第一册“专用条款”和第二册“通用条款”。</w:t>
      </w:r>
    </w:p>
    <w:p w14:paraId="5C769DC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1.3“专用条款”是对本次采购项目的具体要求，包含招标公告、对通用条款的补充内容及其他关键信息、用户需求书、投标文件格式及附件、合同条款及格式等内容。</w:t>
      </w:r>
    </w:p>
    <w:p w14:paraId="61E0D01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1.4“通用条款”是适用于政府采购公开招标项目的基础性条款，具有普遍性和通用性。</w:t>
      </w:r>
    </w:p>
    <w:p w14:paraId="08CC21D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1.5 “专用条款”和“通用条款”表述不一致或有冲突时，以“专用条款”为准。</w:t>
      </w:r>
    </w:p>
    <w:p w14:paraId="3C674490">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2</w:t>
      </w:r>
      <w:r>
        <w:rPr>
          <w:rFonts w:asciiTheme="majorEastAsia" w:hAnsiTheme="majorEastAsia" w:eastAsiaTheme="majorEastAsia"/>
          <w:b/>
          <w:bCs/>
          <w:szCs w:val="21"/>
        </w:rPr>
        <w:t>．</w:t>
      </w:r>
      <w:r>
        <w:rPr>
          <w:rFonts w:hint="eastAsia" w:asciiTheme="majorEastAsia" w:hAnsiTheme="majorEastAsia" w:eastAsiaTheme="majorEastAsia"/>
          <w:b/>
          <w:bCs/>
          <w:szCs w:val="21"/>
        </w:rPr>
        <w:t>招标说明</w:t>
      </w:r>
    </w:p>
    <w:p w14:paraId="12F943A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本项目按照《深圳经济特区政府采购条例》、《深圳经济特区政府采购条例实施细则》及政府采购其他法律法规，通过公开招标方式确定中标供应商。</w:t>
      </w:r>
    </w:p>
    <w:p w14:paraId="2E0D1D22">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3．定义</w:t>
      </w:r>
    </w:p>
    <w:p w14:paraId="32314D3D">
      <w:pPr>
        <w:spacing w:line="360"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招标文件中下列术语应解释为：</w:t>
      </w:r>
    </w:p>
    <w:p w14:paraId="59E398D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1</w:t>
      </w:r>
      <w:r>
        <w:rPr>
          <w:rFonts w:hint="eastAsia" w:asciiTheme="majorEastAsia" w:hAnsiTheme="majorEastAsia" w:eastAsiaTheme="majorEastAsia"/>
          <w:szCs w:val="21"/>
        </w:rPr>
        <w:t>“采购人”：指利用财政性资金依法进行政府采购的国家机关、事业单位、团体组织；</w:t>
      </w:r>
    </w:p>
    <w:p w14:paraId="15E64AF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 “政府集中采购机构”</w:t>
      </w:r>
      <w:r>
        <w:rPr>
          <w:rFonts w:hint="eastAsia" w:cs="Arial" w:asciiTheme="majorEastAsia" w:hAnsiTheme="majorEastAsia" w:eastAsiaTheme="majorEastAsia"/>
          <w:szCs w:val="21"/>
          <w:shd w:val="clear" w:color="auto" w:fill="FFFFFF"/>
        </w:rPr>
        <w:t>是指市政府设立的，对纳入集中采购目录内的采购项目组织实施采购，并对政府采购活动提供服务的专门机构；</w:t>
      </w:r>
      <w:r>
        <w:rPr>
          <w:rFonts w:hint="eastAsia" w:asciiTheme="majorEastAsia" w:hAnsiTheme="majorEastAsia" w:eastAsiaTheme="majorEastAsia"/>
          <w:szCs w:val="21"/>
        </w:rPr>
        <w:t>本文件所述的“政府集中采购机构”</w:t>
      </w:r>
      <w:r>
        <w:rPr>
          <w:rFonts w:asciiTheme="majorEastAsia" w:hAnsiTheme="majorEastAsia" w:eastAsiaTheme="majorEastAsia"/>
          <w:szCs w:val="21"/>
        </w:rPr>
        <w:t>指</w:t>
      </w:r>
      <w:r>
        <w:rPr>
          <w:rFonts w:hint="eastAsia" w:asciiTheme="majorEastAsia" w:hAnsiTheme="majorEastAsia" w:eastAsiaTheme="majorEastAsia"/>
          <w:szCs w:val="21"/>
        </w:rPr>
        <w:t>深圳公共资源交易中心；</w:t>
      </w:r>
    </w:p>
    <w:p w14:paraId="05BC79C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3.3“采购代理机构”是指根据采购人委托，代理政府采购事宜的社会采购代理机构。本招标文件的招标机构特指</w:t>
      </w:r>
      <w:r>
        <w:rPr>
          <w:rFonts w:hint="eastAsia" w:asciiTheme="majorEastAsia" w:hAnsiTheme="majorEastAsia" w:eastAsiaTheme="majorEastAsia"/>
          <w:b/>
          <w:bCs/>
          <w:szCs w:val="21"/>
        </w:rPr>
        <w:t>深圳市中正招标有限公司；</w:t>
      </w:r>
    </w:p>
    <w:p w14:paraId="5ECAD37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3.4“投标人”，即供应商，指参加投标竞争并愿意按照招标文件要求向采购人提供货物、工程或者服务的依法成立的法人、其他组织或者自然人；</w:t>
      </w:r>
    </w:p>
    <w:p w14:paraId="03A4BB4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3.5“评审委员会”是依据《深圳经济特区政府采购条例》、《深圳经济特区政府采购条例实施细则》等有关规定组建的专门负责本次招标其评审工作的临时性机构；</w:t>
      </w:r>
    </w:p>
    <w:p w14:paraId="6B37143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3.6“日期”</w:t>
      </w:r>
      <w:r>
        <w:rPr>
          <w:rFonts w:asciiTheme="majorEastAsia" w:hAnsiTheme="majorEastAsia" w:eastAsiaTheme="majorEastAsia"/>
          <w:szCs w:val="21"/>
        </w:rPr>
        <w:t>指</w:t>
      </w:r>
      <w:r>
        <w:rPr>
          <w:rFonts w:hint="eastAsia" w:asciiTheme="majorEastAsia" w:hAnsiTheme="majorEastAsia" w:eastAsiaTheme="majorEastAsia"/>
          <w:szCs w:val="21"/>
        </w:rPr>
        <w:t>公历日；</w:t>
      </w:r>
    </w:p>
    <w:p w14:paraId="19C0B06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3.7“合同”指由本次招标所产生的合同或合约文件；</w:t>
      </w:r>
    </w:p>
    <w:p w14:paraId="5373EF1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3.8“电子投标文件”指利用</w:t>
      </w:r>
      <w:r>
        <w:rPr>
          <w:rFonts w:hint="eastAsia" w:asciiTheme="majorEastAsia" w:hAnsiTheme="majorEastAsia" w:eastAsiaTheme="majorEastAsia"/>
          <w:bCs/>
          <w:szCs w:val="21"/>
        </w:rPr>
        <w:t>深圳公共资源交易网</w:t>
      </w:r>
      <w:r>
        <w:rPr>
          <w:rFonts w:hint="eastAsia" w:asciiTheme="majorEastAsia" w:hAnsiTheme="majorEastAsia" w:eastAsiaTheme="majorEastAsia"/>
          <w:szCs w:val="21"/>
        </w:rPr>
        <w:t>站提供的深圳智慧采购平台投标文件制作专用软件（以下简称：投标文件制作软件）制作并加密的投标文件,适用于网上投标；（投标文件制作软件可从“下载地址：</w:t>
      </w:r>
      <w:r>
        <w:rPr>
          <w:rFonts w:asciiTheme="majorEastAsia" w:hAnsiTheme="majorEastAsia" w:eastAsiaTheme="majorEastAsia"/>
          <w:szCs w:val="21"/>
        </w:rPr>
        <w:t>http://zfcg.szggzy.com/</w:t>
      </w:r>
      <w:r>
        <w:rPr>
          <w:rFonts w:hint="eastAsia" w:asciiTheme="majorEastAsia" w:hAnsiTheme="majorEastAsia" w:eastAsiaTheme="majorEastAsia"/>
          <w:szCs w:val="21"/>
        </w:rPr>
        <w:t>TPBidder/DownLoad/深圳市智慧采购平台投标文件制作专用软件.zip”下载）；</w:t>
      </w:r>
    </w:p>
    <w:p w14:paraId="5B0FB09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3.9“网上投标”指通过</w:t>
      </w:r>
      <w:r>
        <w:rPr>
          <w:rFonts w:hint="eastAsia" w:asciiTheme="majorEastAsia" w:hAnsiTheme="majorEastAsia" w:eastAsiaTheme="majorEastAsia"/>
          <w:bCs/>
          <w:szCs w:val="21"/>
        </w:rPr>
        <w:t>深圳公共资源交易网</w:t>
      </w:r>
      <w:r>
        <w:rPr>
          <w:rFonts w:hint="eastAsia" w:asciiTheme="majorEastAsia" w:hAnsiTheme="majorEastAsia" w:eastAsiaTheme="majorEastAsia"/>
          <w:szCs w:val="21"/>
        </w:rPr>
        <w:t>站上传电子投标文件；</w:t>
      </w:r>
    </w:p>
    <w:p w14:paraId="4724E7D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3.10招标文件中的标题或题名仅起引导作用，而不应视为对招标文件内容的理解和解释。</w:t>
      </w:r>
    </w:p>
    <w:p w14:paraId="0A5F058F">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 xml:space="preserve">4. </w:t>
      </w:r>
      <w:bookmarkStart w:id="37" w:name="_Hlk72398643"/>
      <w:r>
        <w:rPr>
          <w:rFonts w:hint="eastAsia" w:asciiTheme="majorEastAsia" w:hAnsiTheme="majorEastAsia" w:eastAsiaTheme="majorEastAsia"/>
          <w:b/>
          <w:bCs/>
          <w:szCs w:val="21"/>
        </w:rPr>
        <w:t>政府采购供应商责任</w:t>
      </w:r>
    </w:p>
    <w:p w14:paraId="48CBB52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4.1欢迎诚信、有实力和有社会责任心的供应商参与政府采购事业。</w:t>
      </w:r>
    </w:p>
    <w:p w14:paraId="052C029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4.2投标人应当遵循公平竞争的原则，不得恶意串通，不得妨碍其他投标人的竞争行为，不得损害采购人或者其他投标人的合法权益。如违反上述要求，经核实后，供应商的投标无效。</w:t>
      </w:r>
    </w:p>
    <w:p w14:paraId="67ADC5C6">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5．投标人参加政府采购的条件</w:t>
      </w:r>
    </w:p>
    <w:p w14:paraId="0EA1731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5.1投标人应在投标前到</w:t>
      </w:r>
      <w:r>
        <w:rPr>
          <w:rFonts w:hint="eastAsia" w:asciiTheme="majorEastAsia" w:hAnsiTheme="majorEastAsia" w:eastAsiaTheme="majorEastAsia"/>
          <w:b/>
          <w:bCs/>
          <w:szCs w:val="21"/>
        </w:rPr>
        <w:t>深圳公共资源交易中心（具体在深圳交易集团有限公司政府采购业务分公司进行办理）</w:t>
      </w:r>
      <w:r>
        <w:rPr>
          <w:rFonts w:hint="eastAsia" w:asciiTheme="majorEastAsia" w:hAnsiTheme="majorEastAsia" w:eastAsiaTheme="majorEastAsia"/>
          <w:szCs w:val="21"/>
        </w:rPr>
        <w:t>进行注册并办理电子密钥。《</w:t>
      </w:r>
      <w:r>
        <w:fldChar w:fldCharType="begin"/>
      </w:r>
      <w:r>
        <w:instrText xml:space="preserve"> HYPERLINK "http://www.szzfcg.cn/viewer.do?id=2455258" \t "documentViewer2455258" </w:instrText>
      </w:r>
      <w:r>
        <w:fldChar w:fldCharType="separate"/>
      </w:r>
      <w:r>
        <w:rPr>
          <w:rFonts w:asciiTheme="majorEastAsia" w:hAnsiTheme="majorEastAsia" w:eastAsiaTheme="majorEastAsia"/>
          <w:szCs w:val="21"/>
        </w:rPr>
        <w:t>供应商注册及电子密钥新申请指引</w:t>
      </w:r>
      <w:r>
        <w:rPr>
          <w:rFonts w:asciiTheme="majorEastAsia" w:hAnsiTheme="majorEastAsia" w:eastAsiaTheme="majorEastAsia"/>
          <w:szCs w:val="21"/>
        </w:rPr>
        <w:fldChar w:fldCharType="end"/>
      </w:r>
      <w:r>
        <w:rPr>
          <w:rFonts w:hint="eastAsia" w:asciiTheme="majorEastAsia" w:hAnsiTheme="majorEastAsia" w:eastAsiaTheme="majorEastAsia"/>
          <w:szCs w:val="21"/>
        </w:rPr>
        <w:t>》详见</w:t>
      </w:r>
      <w:r>
        <w:rPr>
          <w:rFonts w:asciiTheme="majorEastAsia" w:hAnsiTheme="majorEastAsia" w:eastAsiaTheme="majorEastAsia"/>
          <w:szCs w:val="21"/>
        </w:rPr>
        <w:t>http://zfcg.szggzy.com/</w:t>
      </w:r>
      <w:r>
        <w:rPr>
          <w:rFonts w:hint="eastAsia" w:asciiTheme="majorEastAsia" w:hAnsiTheme="majorEastAsia" w:eastAsiaTheme="majorEastAsia"/>
          <w:szCs w:val="21"/>
        </w:rPr>
        <w:t>。</w:t>
      </w:r>
    </w:p>
    <w:p w14:paraId="110A362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5.2投标人资格要求</w:t>
      </w:r>
    </w:p>
    <w:p w14:paraId="2E88E67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参加本项目的投标人应具备的资格条件详见本项目招标公告中 “投标人资格要求”（即申请人的资格要求）的内容。</w:t>
      </w:r>
    </w:p>
    <w:p w14:paraId="7217FF3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5.3联合体投标</w:t>
      </w:r>
    </w:p>
    <w:p w14:paraId="500263F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5.3.1　以下有关联合体投标的条款仅适用于允许投标人组成联合体投标的项目。</w:t>
      </w:r>
    </w:p>
    <w:p w14:paraId="13BD811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5.3.2  由两个或两个以上的自然人、法人或者其他组织可以组成一个联合体，以一个供应商的身份共同投标时，应符合以下原则：</w:t>
      </w:r>
    </w:p>
    <w:p w14:paraId="5886A09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（1）投标联合体各方参加政府采购活动应当具备下列条件：</w:t>
      </w:r>
    </w:p>
    <w:p w14:paraId="02D89777">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1、具有独立承担民事责任的能力；</w:t>
      </w:r>
    </w:p>
    <w:p w14:paraId="2E834455">
      <w:pPr>
        <w:spacing w:line="360" w:lineRule="auto"/>
        <w:ind w:left="420" w:firstLine="411" w:firstLineChars="196"/>
        <w:rPr>
          <w:rFonts w:asciiTheme="majorEastAsia" w:hAnsiTheme="majorEastAsia" w:eastAsiaTheme="majorEastAsia"/>
          <w:szCs w:val="21"/>
        </w:rPr>
      </w:pPr>
      <w:r>
        <w:rPr>
          <w:rFonts w:hint="eastAsia" w:asciiTheme="majorEastAsia" w:hAnsiTheme="majorEastAsia" w:eastAsiaTheme="majorEastAsia"/>
          <w:szCs w:val="21"/>
        </w:rPr>
        <w:t>2、有良好的商业信誉和健全的财务会计制度；</w:t>
      </w:r>
    </w:p>
    <w:p w14:paraId="3442932F">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3、具有履行合同所必需的设备和专业技术能力；</w:t>
      </w:r>
    </w:p>
    <w:p w14:paraId="25FCFC7B">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4、有依法缴纳税收和社会保障资金的良好记录；</w:t>
      </w:r>
    </w:p>
    <w:p w14:paraId="4FA91B5B">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5、参加政府采购活动前三年内，在经营活动中没有重大违法记录；</w:t>
      </w:r>
    </w:p>
    <w:p w14:paraId="6ABA5329">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6、法律、行政法规规定的其他条件。</w:t>
      </w:r>
    </w:p>
    <w:p w14:paraId="6C62FE6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（2）联合体中有同类资质的供应商按照联合体分工承担相同工作的，应当按照资质等级较低的供应商确定资质等级；</w:t>
      </w:r>
    </w:p>
    <w:p w14:paraId="0675584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（3）是否允许联合体参加投标，应当由采购人和采购代理机构根据项目的实际情况和潜在供应商的数量自主决定，如果决定接受联合体投标则应当在招标公告中明示；</w:t>
      </w:r>
    </w:p>
    <w:p w14:paraId="5CE7FCA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（4）投标人的投标文件及中标后签署的合同协议对联合体各方均具法律约束力；</w:t>
      </w:r>
    </w:p>
    <w:p w14:paraId="0985060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（5）联合体各方应当签订联合体投标协议，明确约定各方拟承担的工作和责任，并将该协议随投标文件一并递交给采购代理机构；</w:t>
      </w:r>
    </w:p>
    <w:p w14:paraId="5670A93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（6）联合体中标后，联合体各方应当共同与采购人签订合同，就中标项目向采购人承担连带责任；</w:t>
      </w:r>
    </w:p>
    <w:p w14:paraId="3A5D490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133486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（8）本通用条款中“投标人”一词亦指联合体各方，专用条款另有规定或说明的除外。</w:t>
      </w:r>
    </w:p>
    <w:p w14:paraId="7E7B8E16">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6．政策导向</w:t>
      </w:r>
    </w:p>
    <w:p w14:paraId="75BD631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6.1政府采购扶持贫困地区、中小企业、监狱企业和残疾人福利性单位发展，支持节能减排、环境保护。</w:t>
      </w:r>
    </w:p>
    <w:p w14:paraId="2848B251">
      <w:pPr>
        <w:spacing w:line="360" w:lineRule="auto"/>
        <w:ind w:firstLine="405"/>
        <w:rPr>
          <w:rFonts w:asciiTheme="majorEastAsia" w:hAnsiTheme="majorEastAsia" w:eastAsiaTheme="majorEastAsia"/>
          <w:szCs w:val="21"/>
          <w:shd w:val="clear" w:color="auto" w:fill="FFFFFF"/>
        </w:rPr>
      </w:pPr>
      <w:r>
        <w:rPr>
          <w:rFonts w:hint="eastAsia" w:asciiTheme="majorEastAsia" w:hAnsiTheme="majorEastAsia" w:eastAsiaTheme="majorEastAsia"/>
          <w:szCs w:val="21"/>
        </w:rPr>
        <w:t>6.2本项目落实深圳市政府采购供应商诚信管理政策要求。</w:t>
      </w:r>
    </w:p>
    <w:p w14:paraId="76749E78">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7. 本项目若涉及采购货物，则合格的货物及相应服务应满足以下要求：</w:t>
      </w:r>
    </w:p>
    <w:p w14:paraId="61D9AE9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 xml:space="preserve">.1  </w:t>
      </w:r>
      <w:r>
        <w:rPr>
          <w:rFonts w:hint="eastAsia" w:asciiTheme="majorEastAsia" w:hAnsiTheme="majorEastAsia" w:eastAsiaTheme="majorEastAsia"/>
          <w:szCs w:val="21"/>
        </w:rPr>
        <w:t>必须是全新、未使用过的原装合格正品（包括零部件），如安装或配置了软件的，须为正版软件。</w:t>
      </w:r>
    </w:p>
    <w:p w14:paraId="671FFDE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7.2  国产的货物及其有关服务必须符合中华人民共和国的设计、制造生产标准及行业标准。招标公告有其他要求的，亦应符合其要求。</w:t>
      </w:r>
    </w:p>
    <w:p w14:paraId="0A7477A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3AC4A3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4投标人</w:t>
      </w:r>
      <w:bookmarkStart w:id="38" w:name="_Hlk72152753"/>
      <w:r>
        <w:rPr>
          <w:rFonts w:hint="eastAsia" w:asciiTheme="majorEastAsia" w:hAnsiTheme="majorEastAsia" w:eastAsiaTheme="major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8"/>
    </w:p>
    <w:p w14:paraId="5EA243C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671A0B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7.6  工期要求：投标人在投标时对其所投项目应提交交货进度、交货计划等，在合同规定的时间内完成项目实施工作。</w:t>
      </w:r>
    </w:p>
    <w:p w14:paraId="1BCFF78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7.7  投标人必须承担的设备运输、安装调试、验收检测和提供设备操作说明书、图纸等其他相关及类似的义务。</w:t>
      </w:r>
    </w:p>
    <w:p w14:paraId="7F48BE68">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8．投标费用</w:t>
      </w:r>
    </w:p>
    <w:p w14:paraId="010FCCA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不论投标结果如何，投标人应承担其编制投标文件与递交投标文件所涉及的一切费用。</w:t>
      </w:r>
    </w:p>
    <w:p w14:paraId="76B96779">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9．踏勘现场</w:t>
      </w:r>
    </w:p>
    <w:p w14:paraId="6DB56E1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DACC2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9.2投标人及其人员经过采购人的允许，可以进入采购人的项目现场踏勘。若招标文件要求投标人于统一时间地点踏勘现场的，投标人应当按时前往。</w:t>
      </w:r>
    </w:p>
    <w:p w14:paraId="58B654E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9.3采购人应当通过采购代理机构向投标人提供有关现场的书面资料和数据。</w:t>
      </w:r>
    </w:p>
    <w:p w14:paraId="78A4C82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9.4任何人或任何组织在踏勘现场时向投标人提供的任何书面资料或口头承诺，未经采购代理机构在网上发布或书面通知，均作无效处理。</w:t>
      </w:r>
    </w:p>
    <w:p w14:paraId="483F754B">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9</w:t>
      </w:r>
      <w:r>
        <w:rPr>
          <w:rFonts w:hint="eastAsia" w:asciiTheme="majorEastAsia" w:hAnsiTheme="majorEastAsia" w:eastAsiaTheme="majorEastAsia"/>
          <w:szCs w:val="21"/>
        </w:rPr>
        <w:t>.</w:t>
      </w:r>
      <w:r>
        <w:rPr>
          <w:rFonts w:asciiTheme="majorEastAsia" w:hAnsiTheme="majorEastAsia" w:eastAsiaTheme="majorEastAsia"/>
          <w:szCs w:val="21"/>
        </w:rPr>
        <w:t>5</w:t>
      </w:r>
      <w:r>
        <w:rPr>
          <w:rFonts w:hint="eastAsia" w:asciiTheme="majorEastAsia" w:hAnsiTheme="majorEastAsia" w:eastAsiaTheme="majorEastAsia"/>
          <w:szCs w:val="21"/>
        </w:rPr>
        <w:t>未参与踏勘现场不作为否定投标人资格的理由。</w:t>
      </w:r>
    </w:p>
    <w:p w14:paraId="097819E5">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1</w:t>
      </w:r>
      <w:r>
        <w:rPr>
          <w:rFonts w:asciiTheme="majorEastAsia" w:hAnsiTheme="majorEastAsia" w:eastAsiaTheme="majorEastAsia"/>
          <w:b/>
          <w:bCs/>
          <w:szCs w:val="21"/>
        </w:rPr>
        <w:t>0</w:t>
      </w:r>
      <w:r>
        <w:rPr>
          <w:rFonts w:hint="eastAsia" w:asciiTheme="majorEastAsia" w:hAnsiTheme="majorEastAsia" w:eastAsiaTheme="majorEastAsia"/>
          <w:b/>
          <w:bCs/>
          <w:szCs w:val="21"/>
        </w:rPr>
        <w:t>．标前会议</w:t>
      </w:r>
    </w:p>
    <w:p w14:paraId="672630D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0</w:t>
      </w:r>
      <w:r>
        <w:rPr>
          <w:rFonts w:hint="eastAsia" w:asciiTheme="majorEastAsia" w:hAnsiTheme="majorEastAsia" w:eastAsiaTheme="majorEastAsia"/>
          <w:szCs w:val="21"/>
        </w:rPr>
        <w:t>.</w:t>
      </w:r>
      <w:r>
        <w:rPr>
          <w:rFonts w:asciiTheme="majorEastAsia" w:hAnsiTheme="majorEastAsia" w:eastAsiaTheme="majorEastAsia"/>
          <w:szCs w:val="21"/>
        </w:rPr>
        <w:t>1</w:t>
      </w:r>
      <w:r>
        <w:rPr>
          <w:rFonts w:hint="eastAsia" w:asciiTheme="majorEastAsia" w:hAnsiTheme="majorEastAsia" w:eastAsiaTheme="majorEastAsia"/>
          <w:szCs w:val="21"/>
        </w:rPr>
        <w:t>如采购人或采购代理机构认为有必要组织标前会议，投标人应按照招标文件规定的时间或采购代理机构另行书面通知（包括采购代理机构网站发布方式，如更正公告等）的时间和地点，参与标前会议。</w:t>
      </w:r>
    </w:p>
    <w:p w14:paraId="57A2D3D6">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10</w:t>
      </w:r>
      <w:r>
        <w:rPr>
          <w:rFonts w:hint="eastAsia" w:asciiTheme="majorEastAsia" w:hAnsiTheme="majorEastAsia" w:eastAsiaTheme="majorEastAsia"/>
          <w:szCs w:val="21"/>
        </w:rPr>
        <w:t>.</w:t>
      </w:r>
      <w:r>
        <w:rPr>
          <w:rFonts w:asciiTheme="majorEastAsia" w:hAnsiTheme="majorEastAsia" w:eastAsiaTheme="majorEastAsia"/>
          <w:szCs w:val="21"/>
        </w:rPr>
        <w:t>2</w:t>
      </w:r>
      <w:r>
        <w:rPr>
          <w:rFonts w:hint="eastAsia" w:asciiTheme="majorEastAsia" w:hAnsiTheme="majorEastAsia" w:eastAsiaTheme="majorEastAsia"/>
          <w:szCs w:val="21"/>
        </w:rPr>
        <w:t>任何人或任何组织在标前会议时向投标人提供的任何书面资料或口头承诺，未经采购代理机构在网上发布或书面通知，均作无效处理。</w:t>
      </w:r>
    </w:p>
    <w:p w14:paraId="4A4BD00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0</w:t>
      </w:r>
      <w:r>
        <w:rPr>
          <w:rFonts w:hint="eastAsia" w:asciiTheme="majorEastAsia" w:hAnsiTheme="majorEastAsia" w:eastAsiaTheme="majorEastAsia"/>
          <w:szCs w:val="21"/>
        </w:rPr>
        <w:t>.</w:t>
      </w:r>
      <w:r>
        <w:rPr>
          <w:rFonts w:asciiTheme="majorEastAsia" w:hAnsiTheme="majorEastAsia" w:eastAsiaTheme="majorEastAsia"/>
          <w:szCs w:val="21"/>
        </w:rPr>
        <w:t>3</w:t>
      </w:r>
      <w:r>
        <w:rPr>
          <w:rFonts w:hint="eastAsia" w:asciiTheme="majorEastAsia" w:hAnsiTheme="majorEastAsia" w:eastAsiaTheme="majorEastAsia"/>
          <w:szCs w:val="21"/>
        </w:rPr>
        <w:t>未参与标前会议不作为否定投标人资格的理由。</w:t>
      </w:r>
    </w:p>
    <w:bookmarkEnd w:id="37"/>
    <w:p w14:paraId="4F957864">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招标文件</w:t>
      </w:r>
    </w:p>
    <w:p w14:paraId="17E39CAC">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w:t>
      </w:r>
      <w:r>
        <w:rPr>
          <w:rFonts w:asciiTheme="majorEastAsia" w:hAnsiTheme="majorEastAsia" w:eastAsiaTheme="majorEastAsia"/>
          <w:b/>
          <w:bCs/>
          <w:szCs w:val="21"/>
        </w:rPr>
        <w:t>1</w:t>
      </w:r>
      <w:r>
        <w:rPr>
          <w:rFonts w:hint="eastAsia" w:asciiTheme="majorEastAsia" w:hAnsiTheme="majorEastAsia" w:eastAsiaTheme="majorEastAsia"/>
          <w:b/>
          <w:bCs/>
          <w:szCs w:val="21"/>
        </w:rPr>
        <w:t>．</w:t>
      </w:r>
      <w:bookmarkStart w:id="39" w:name="_Hlk72399819"/>
      <w:r>
        <w:rPr>
          <w:rFonts w:hint="eastAsia" w:asciiTheme="majorEastAsia" w:hAnsiTheme="majorEastAsia" w:eastAsiaTheme="majorEastAsia"/>
          <w:b/>
          <w:bCs/>
          <w:szCs w:val="21"/>
        </w:rPr>
        <w:t>招标文件的编制与组成</w:t>
      </w:r>
    </w:p>
    <w:p w14:paraId="181908F7">
      <w:pPr>
        <w:snapToGrid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w:t>
      </w:r>
      <w:r>
        <w:rPr>
          <w:rFonts w:hint="eastAsia" w:asciiTheme="majorEastAsia" w:hAnsiTheme="majorEastAsia" w:eastAsiaTheme="majorEastAsia"/>
          <w:szCs w:val="21"/>
        </w:rPr>
        <w:t>.1招标文件除以下内容外，采购代理机构在招标期间发出的澄清或修改等相关公告或通知内容，均是招标文件的组成部分，对投标人起约束作用；</w:t>
      </w:r>
    </w:p>
    <w:p w14:paraId="78B18CB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招标文件包括下列内容：</w:t>
      </w:r>
    </w:p>
    <w:p w14:paraId="4C33CFA5">
      <w:pPr>
        <w:spacing w:line="360" w:lineRule="auto"/>
        <w:ind w:left="420" w:leftChars="200" w:firstLine="413" w:firstLineChars="196"/>
        <w:rPr>
          <w:rFonts w:asciiTheme="majorEastAsia" w:hAnsiTheme="majorEastAsia" w:eastAsiaTheme="majorEastAsia"/>
          <w:b/>
          <w:szCs w:val="21"/>
        </w:rPr>
      </w:pPr>
      <w:r>
        <w:rPr>
          <w:rFonts w:hint="eastAsia" w:asciiTheme="majorEastAsia" w:hAnsiTheme="majorEastAsia" w:eastAsiaTheme="majorEastAsia"/>
          <w:b/>
          <w:szCs w:val="21"/>
        </w:rPr>
        <w:t>第一册  专用条款</w:t>
      </w:r>
    </w:p>
    <w:p w14:paraId="795D4521">
      <w:pPr>
        <w:spacing w:line="360" w:lineRule="auto"/>
        <w:ind w:left="1079" w:leftChars="514"/>
        <w:rPr>
          <w:rFonts w:asciiTheme="majorEastAsia" w:hAnsiTheme="majorEastAsia" w:eastAsiaTheme="majorEastAsia"/>
          <w:b/>
          <w:szCs w:val="21"/>
        </w:rPr>
      </w:pPr>
      <w:r>
        <w:rPr>
          <w:rFonts w:hint="eastAsia" w:asciiTheme="majorEastAsia" w:hAnsiTheme="majorEastAsia" w:eastAsiaTheme="majorEastAsia"/>
          <w:b/>
          <w:szCs w:val="21"/>
        </w:rPr>
        <w:t>关键信息</w:t>
      </w:r>
    </w:p>
    <w:p w14:paraId="4EAFBF85">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第一章  招标公告</w:t>
      </w:r>
    </w:p>
    <w:p w14:paraId="2AB3AE87">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第二章  对通用条款的补充内容及其他关键信息</w:t>
      </w:r>
    </w:p>
    <w:p w14:paraId="251C5FD5">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第三章  用户需求书</w:t>
      </w:r>
    </w:p>
    <w:p w14:paraId="2101808D">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第四章  投标文件格式及附件</w:t>
      </w:r>
    </w:p>
    <w:p w14:paraId="65D6AE5E">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第五章  合同条款及格式</w:t>
      </w:r>
    </w:p>
    <w:p w14:paraId="051B2583">
      <w:pPr>
        <w:spacing w:line="360" w:lineRule="auto"/>
        <w:ind w:left="420" w:leftChars="200" w:firstLine="413" w:firstLineChars="196"/>
        <w:outlineLvl w:val="0"/>
        <w:rPr>
          <w:rFonts w:asciiTheme="majorEastAsia" w:hAnsiTheme="majorEastAsia" w:eastAsiaTheme="majorEastAsia"/>
          <w:b/>
          <w:szCs w:val="21"/>
        </w:rPr>
      </w:pPr>
      <w:r>
        <w:rPr>
          <w:rFonts w:hint="eastAsia" w:asciiTheme="majorEastAsia" w:hAnsiTheme="majorEastAsia" w:eastAsiaTheme="majorEastAsia"/>
          <w:b/>
          <w:szCs w:val="21"/>
        </w:rPr>
        <w:t>第二册  通用条款</w:t>
      </w:r>
    </w:p>
    <w:p w14:paraId="61F61BE5">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第一章  总则</w:t>
      </w:r>
    </w:p>
    <w:p w14:paraId="12CFB6A9">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第二章  招标文件</w:t>
      </w:r>
    </w:p>
    <w:p w14:paraId="1CFB19E0">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第三章  投标文件的编制</w:t>
      </w:r>
    </w:p>
    <w:p w14:paraId="6FA276A5">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第四章  投标文件的递交</w:t>
      </w:r>
    </w:p>
    <w:p w14:paraId="72DAEA20">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第五章  开标</w:t>
      </w:r>
    </w:p>
    <w:p w14:paraId="103125D1">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第六章  评审要求</w:t>
      </w:r>
    </w:p>
    <w:p w14:paraId="69886383">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第七章  评审程序及评审方法</w:t>
      </w:r>
    </w:p>
    <w:p w14:paraId="71EFD6D8">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第八章  定标及公示</w:t>
      </w:r>
    </w:p>
    <w:p w14:paraId="04242E33">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第九章  公开招标失败的后续处理</w:t>
      </w:r>
    </w:p>
    <w:p w14:paraId="4EE3480C">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第十章  合同的授予与备案</w:t>
      </w:r>
    </w:p>
    <w:p w14:paraId="7ED647DA">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第十一章  质疑处理</w:t>
      </w:r>
    </w:p>
    <w:p w14:paraId="6E9090F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w:t>
      </w:r>
      <w:r>
        <w:rPr>
          <w:rFonts w:hint="eastAsia" w:asciiTheme="majorEastAsia" w:hAnsiTheme="majorEastAsia" w:eastAsiaTheme="majorEastAsia"/>
          <w:szCs w:val="21"/>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73A66F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w:t>
      </w:r>
      <w:r>
        <w:rPr>
          <w:rFonts w:hint="eastAsia" w:asciiTheme="majorEastAsia" w:hAnsiTheme="majorEastAsia" w:eastAsiaTheme="majorEastAsia"/>
          <w:szCs w:val="21"/>
        </w:rPr>
        <w:t>.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270E4B7">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w:t>
      </w:r>
      <w:r>
        <w:rPr>
          <w:rFonts w:asciiTheme="majorEastAsia" w:hAnsiTheme="majorEastAsia" w:eastAsiaTheme="majorEastAsia"/>
          <w:b/>
          <w:bCs/>
          <w:szCs w:val="21"/>
        </w:rPr>
        <w:t>2</w:t>
      </w:r>
      <w:r>
        <w:rPr>
          <w:rFonts w:hint="eastAsia" w:asciiTheme="majorEastAsia" w:hAnsiTheme="majorEastAsia" w:eastAsiaTheme="majorEastAsia"/>
          <w:b/>
          <w:bCs/>
          <w:szCs w:val="21"/>
        </w:rPr>
        <w:t>．招标文件的澄清</w:t>
      </w:r>
    </w:p>
    <w:p w14:paraId="43DE9E4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2</w:t>
      </w:r>
      <w:r>
        <w:rPr>
          <w:rFonts w:hint="eastAsia" w:asciiTheme="majorEastAsia" w:hAnsiTheme="majorEastAsia" w:eastAsiaTheme="majorEastAsia"/>
          <w:szCs w:val="21"/>
        </w:rPr>
        <w:t>.1招标文件澄清的目的是澄清、解答投标人在查阅招标文件后或现场踏勘中可能提出的与投标有关的疑问或询问。</w:t>
      </w:r>
    </w:p>
    <w:p w14:paraId="24F75E3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2</w:t>
      </w:r>
      <w:r>
        <w:rPr>
          <w:rFonts w:hint="eastAsia" w:asciiTheme="majorEastAsia" w:hAnsiTheme="majorEastAsia" w:eastAsiaTheme="majorEastAsia"/>
          <w:szCs w:val="21"/>
        </w:rPr>
        <w:t>.2投标人如对招标文件内容有疑问，应当在招标公告规定的澄清（提问）截止时间前以网上提问的形式通过网上政府采购系统提交采购代理机构。</w:t>
      </w:r>
    </w:p>
    <w:p w14:paraId="06F657E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2</w:t>
      </w:r>
      <w:r>
        <w:rPr>
          <w:rFonts w:hint="eastAsia" w:asciiTheme="majorEastAsia" w:hAnsiTheme="majorEastAsia" w:eastAsiaTheme="majorEastAsia"/>
          <w:szCs w:val="21"/>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Theme="majorEastAsia" w:hAnsiTheme="majorEastAsia" w:eastAsiaTheme="majorEastAsia"/>
          <w:szCs w:val="21"/>
        </w:rPr>
        <w:t>3.3</w:t>
      </w:r>
      <w:r>
        <w:rPr>
          <w:rFonts w:hint="eastAsia" w:asciiTheme="majorEastAsia" w:hAnsiTheme="majorEastAsia" w:eastAsiaTheme="majorEastAsia"/>
          <w:szCs w:val="21"/>
        </w:rPr>
        <w:t>、1</w:t>
      </w:r>
      <w:r>
        <w:rPr>
          <w:rFonts w:asciiTheme="majorEastAsia" w:hAnsiTheme="majorEastAsia" w:eastAsiaTheme="majorEastAsia"/>
          <w:szCs w:val="21"/>
        </w:rPr>
        <w:t>3.4</w:t>
      </w:r>
      <w:r>
        <w:rPr>
          <w:rFonts w:hint="eastAsia" w:asciiTheme="majorEastAsia" w:hAnsiTheme="majorEastAsia" w:eastAsiaTheme="majorEastAsia"/>
          <w:szCs w:val="21"/>
        </w:rPr>
        <w:t>款规定执行。</w:t>
      </w:r>
    </w:p>
    <w:p w14:paraId="351687F8">
      <w:pPr>
        <w:spacing w:line="360" w:lineRule="auto"/>
        <w:rPr>
          <w:rFonts w:asciiTheme="majorEastAsia" w:hAnsiTheme="majorEastAsia" w:eastAsiaTheme="majorEastAsia"/>
          <w:b/>
          <w:bCs/>
          <w:szCs w:val="21"/>
        </w:rPr>
      </w:pPr>
      <w:r>
        <w:rPr>
          <w:rFonts w:asciiTheme="majorEastAsia" w:hAnsiTheme="majorEastAsia" w:eastAsiaTheme="majorEastAsia"/>
          <w:b/>
          <w:bCs/>
          <w:szCs w:val="21"/>
        </w:rPr>
        <w:t>1</w:t>
      </w:r>
      <w:r>
        <w:rPr>
          <w:rFonts w:hint="eastAsia" w:asciiTheme="majorEastAsia" w:hAnsiTheme="majorEastAsia" w:eastAsiaTheme="majorEastAsia"/>
          <w:b/>
          <w:bCs/>
          <w:szCs w:val="21"/>
        </w:rPr>
        <w:t>3．招标文件的修改</w:t>
      </w:r>
    </w:p>
    <w:p w14:paraId="3E708B01">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3.1招标文件发出后，在投标截止日期前任何时候，确需要变更招标文件内容的，采购代理机构可主动或在解答投标人提出的澄清问题时对招标文件进行修改。</w:t>
      </w:r>
    </w:p>
    <w:p w14:paraId="709ADEB0">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3.2招标文件的修改以书面形式（包括采购代理机构网站发布方式，如更正公告等）发送给所有投标人，招标文件的修改内容作为招标文件的组成部分，并具有约束力。</w:t>
      </w:r>
    </w:p>
    <w:p w14:paraId="79915C8F">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3EE5E54F">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9"/>
    </w:p>
    <w:p w14:paraId="1009A40E">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投标文件的编制</w:t>
      </w:r>
    </w:p>
    <w:p w14:paraId="27500CA0">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14．</w:t>
      </w:r>
      <w:bookmarkStart w:id="40" w:name="_Hlk72400236"/>
      <w:r>
        <w:rPr>
          <w:rFonts w:hint="eastAsia" w:asciiTheme="majorEastAsia" w:hAnsiTheme="majorEastAsia" w:eastAsiaTheme="majorEastAsia"/>
          <w:b/>
          <w:bCs/>
          <w:szCs w:val="21"/>
        </w:rPr>
        <w:t>投标文件的语言及度量单位</w:t>
      </w:r>
    </w:p>
    <w:p w14:paraId="7B6C057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595B48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14.2 除技术规范另有规定外，投标文件使用的度量单位，均采用中华人民共和国法定计量单位。</w:t>
      </w:r>
    </w:p>
    <w:bookmarkEnd w:id="40"/>
    <w:p w14:paraId="62738F29">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15．</w:t>
      </w:r>
      <w:bookmarkStart w:id="41" w:name="_Hlk72401567"/>
      <w:r>
        <w:rPr>
          <w:rFonts w:hint="eastAsia" w:asciiTheme="majorEastAsia" w:hAnsiTheme="majorEastAsia" w:eastAsiaTheme="majorEastAsia"/>
          <w:b/>
          <w:bCs/>
          <w:szCs w:val="21"/>
        </w:rPr>
        <w:t>投标文件的组成</w:t>
      </w:r>
    </w:p>
    <w:p w14:paraId="36702CD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具体内容在招标文件专用条款中进行规定。</w:t>
      </w:r>
    </w:p>
    <w:p w14:paraId="7BE7A1BC">
      <w:pPr>
        <w:spacing w:line="360" w:lineRule="auto"/>
        <w:rPr>
          <w:rFonts w:asciiTheme="majorEastAsia" w:hAnsiTheme="majorEastAsia" w:eastAsiaTheme="majorEastAsia"/>
          <w:b/>
          <w:bCs/>
          <w:szCs w:val="21"/>
        </w:rPr>
      </w:pPr>
      <w:r>
        <w:rPr>
          <w:rFonts w:asciiTheme="majorEastAsia" w:hAnsiTheme="majorEastAsia" w:eastAsiaTheme="majorEastAsia"/>
          <w:b/>
          <w:bCs/>
          <w:szCs w:val="21"/>
        </w:rPr>
        <w:t>16．投标文件格式</w:t>
      </w:r>
    </w:p>
    <w:p w14:paraId="08FF9F5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投标文件包括本通用条款第</w:t>
      </w:r>
      <w:r>
        <w:rPr>
          <w:rFonts w:asciiTheme="majorEastAsia" w:hAnsiTheme="majorEastAsia" w:eastAsiaTheme="majorEastAsia"/>
          <w:szCs w:val="21"/>
        </w:rPr>
        <w:t>15条中规定的内容。如招标文件提供了投标文件格式，则</w:t>
      </w:r>
      <w:r>
        <w:rPr>
          <w:rFonts w:hint="eastAsia" w:asciiTheme="majorEastAsia" w:hAnsiTheme="majorEastAsia" w:eastAsiaTheme="majorEastAsia"/>
          <w:b/>
          <w:bCs/>
          <w:szCs w:val="21"/>
        </w:rPr>
        <w:t>投标人提交的投标文件应使用招标文件所提供的相应格式</w:t>
      </w:r>
      <w:r>
        <w:rPr>
          <w:rFonts w:hint="eastAsia" w:asciiTheme="majorEastAsia" w:hAnsiTheme="majorEastAsia" w:eastAsiaTheme="majorEastAsia"/>
          <w:szCs w:val="21"/>
        </w:rPr>
        <w:t>（表格均可按同样格式扩展）。</w:t>
      </w:r>
    </w:p>
    <w:p w14:paraId="613A0815">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17．投标货币</w:t>
      </w:r>
    </w:p>
    <w:p w14:paraId="44CD07C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本项目的投标报价应以人民币计。</w:t>
      </w:r>
    </w:p>
    <w:bookmarkEnd w:id="41"/>
    <w:p w14:paraId="5A3A0E73">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18．</w:t>
      </w:r>
      <w:bookmarkStart w:id="42" w:name="_Hlk72401735"/>
      <w:r>
        <w:rPr>
          <w:rFonts w:hint="eastAsia" w:asciiTheme="majorEastAsia" w:hAnsiTheme="majorEastAsia" w:eastAsiaTheme="majorEastAsia"/>
          <w:b/>
          <w:bCs/>
          <w:szCs w:val="21"/>
        </w:rPr>
        <w:t>证明投标文件投标技术方案的合格性和符合招标文件规定的文件要求</w:t>
      </w:r>
    </w:p>
    <w:p w14:paraId="266E162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w:t>
      </w:r>
      <w:r>
        <w:rPr>
          <w:rFonts w:asciiTheme="majorEastAsia" w:hAnsiTheme="majorEastAsia" w:eastAsiaTheme="majorEastAsia"/>
          <w:szCs w:val="21"/>
        </w:rPr>
        <w:t xml:space="preserve">.1 </w:t>
      </w:r>
      <w:r>
        <w:rPr>
          <w:rFonts w:hint="eastAsia" w:asciiTheme="majorEastAsia" w:hAnsiTheme="majorEastAsia" w:eastAsiaTheme="majorEastAsia"/>
          <w:szCs w:val="21"/>
        </w:rPr>
        <w:t>投标人应提交证明文件，证明其投标技术方案项下的货物和服务的合格性符合招标文件规定。该投标技术方案及其证明文件均作为投标文件组成部分。</w:t>
      </w:r>
    </w:p>
    <w:p w14:paraId="2CC8D103">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8</w:t>
      </w:r>
      <w:r>
        <w:rPr>
          <w:rFonts w:asciiTheme="majorEastAsia" w:hAnsiTheme="majorEastAsia" w:eastAsiaTheme="majorEastAsia"/>
          <w:szCs w:val="21"/>
        </w:rPr>
        <w:t xml:space="preserve">.2 </w:t>
      </w:r>
      <w:r>
        <w:rPr>
          <w:rFonts w:hint="eastAsia" w:asciiTheme="majorEastAsia" w:hAnsiTheme="majorEastAsia" w:eastAsiaTheme="major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849B01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18.2.1主要技术指标和性能的详细说明。</w:t>
      </w:r>
    </w:p>
    <w:p w14:paraId="34FA33D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w:t>
      </w:r>
      <w:r>
        <w:rPr>
          <w:rFonts w:asciiTheme="majorEastAsia" w:hAnsiTheme="majorEastAsia" w:eastAsiaTheme="majorEastAsia"/>
          <w:szCs w:val="21"/>
        </w:rPr>
        <w:t>2</w:t>
      </w:r>
      <w:r>
        <w:rPr>
          <w:rFonts w:hint="eastAsia" w:asciiTheme="majorEastAsia" w:hAnsiTheme="majorEastAsia" w:eastAsiaTheme="majorEastAsia"/>
          <w:szCs w:val="21"/>
        </w:rPr>
        <w:t>投标产品从采购人开始使用至招标文件中规定的周期内正常、连续地使用所必须的备件和专用工具清单，包括备件和专用工具的货源及现行价格。</w:t>
      </w:r>
    </w:p>
    <w:p w14:paraId="2A66D27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w:t>
      </w:r>
      <w:r>
        <w:rPr>
          <w:rFonts w:asciiTheme="majorEastAsia" w:hAnsiTheme="majorEastAsia" w:eastAsiaTheme="majorEastAsia"/>
          <w:szCs w:val="21"/>
        </w:rPr>
        <w:t>3</w:t>
      </w:r>
      <w:r>
        <w:rPr>
          <w:rFonts w:hint="eastAsia" w:asciiTheme="majorEastAsia" w:hAnsiTheme="majorEastAsia" w:eastAsiaTheme="major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B244BE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4F85056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35BA7CB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18.3相关资料不符合18.2款要求的，评审委员会有权认定为投标技术方案不合格响应，其相关分数予以扣减或作投标无效处理。</w:t>
      </w:r>
    </w:p>
    <w:p w14:paraId="6E8F2993">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8</w:t>
      </w:r>
      <w:r>
        <w:rPr>
          <w:rFonts w:asciiTheme="majorEastAsia" w:hAnsiTheme="majorEastAsia" w:eastAsiaTheme="majorEastAsia"/>
          <w:szCs w:val="21"/>
        </w:rPr>
        <w:t>.</w:t>
      </w:r>
      <w:r>
        <w:rPr>
          <w:rFonts w:hint="eastAsia" w:asciiTheme="majorEastAsia" w:hAnsiTheme="majorEastAsia" w:eastAsiaTheme="major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6484738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18.5除非另有规定或说明，投标人对同一项目投标时，不得同时提供两套或两套以上的投标方案。</w:t>
      </w:r>
    </w:p>
    <w:bookmarkEnd w:id="42"/>
    <w:p w14:paraId="3C8928A6">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19．</w:t>
      </w:r>
      <w:bookmarkStart w:id="43" w:name="_Hlk72402034"/>
      <w:r>
        <w:rPr>
          <w:rFonts w:hint="eastAsia" w:asciiTheme="majorEastAsia" w:hAnsiTheme="majorEastAsia" w:eastAsiaTheme="majorEastAsia"/>
          <w:b/>
          <w:bCs/>
          <w:szCs w:val="21"/>
        </w:rPr>
        <w:t>投标文件其他证明文件的要求</w:t>
      </w:r>
    </w:p>
    <w:p w14:paraId="7596A47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44" w:name="_Hlk71407299"/>
    </w:p>
    <w:bookmarkEnd w:id="44"/>
    <w:p w14:paraId="404792A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15DAAB9">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20．投标有效期</w:t>
      </w:r>
    </w:p>
    <w:bookmarkEnd w:id="43"/>
    <w:p w14:paraId="5BB8D7BE">
      <w:pPr>
        <w:spacing w:line="360" w:lineRule="auto"/>
        <w:ind w:firstLine="411" w:firstLineChars="196"/>
        <w:rPr>
          <w:rFonts w:asciiTheme="majorEastAsia" w:hAnsiTheme="majorEastAsia" w:eastAsiaTheme="majorEastAsia"/>
          <w:szCs w:val="21"/>
        </w:rPr>
      </w:pPr>
      <w:bookmarkStart w:id="45" w:name="_Hlk72402214"/>
      <w:r>
        <w:rPr>
          <w:rFonts w:hint="eastAsia" w:asciiTheme="majorEastAsia" w:hAnsiTheme="majorEastAsia" w:eastAsiaTheme="majorEastAsia"/>
          <w:szCs w:val="21"/>
        </w:rPr>
        <w:t>20.1 投标有效期为</w:t>
      </w:r>
      <w:r>
        <w:rPr>
          <w:rFonts w:hint="eastAsia" w:cs="Arial" w:asciiTheme="majorEastAsia" w:hAnsiTheme="majorEastAsia" w:eastAsiaTheme="majorEastAsia"/>
          <w:szCs w:val="21"/>
        </w:rPr>
        <w:t>从投标截止之日算起的日历天数。</w:t>
      </w:r>
      <w:r>
        <w:rPr>
          <w:rFonts w:hint="eastAsia" w:asciiTheme="majorEastAsia" w:hAnsiTheme="majorEastAsia" w:eastAsiaTheme="majorEastAsia"/>
          <w:szCs w:val="21"/>
        </w:rPr>
        <w:t>在此期限内，所有投标文件均保持有效。</w:t>
      </w:r>
    </w:p>
    <w:p w14:paraId="0BCE97C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20.2 在特殊情况下，采购代理机构在原定的投标有效期满之前，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5D8E4A8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20</w:t>
      </w:r>
      <w:r>
        <w:rPr>
          <w:rFonts w:asciiTheme="majorEastAsia" w:hAnsiTheme="majorEastAsia" w:eastAsiaTheme="majorEastAsia"/>
          <w:szCs w:val="21"/>
        </w:rPr>
        <w:t>.3</w:t>
      </w:r>
      <w:r>
        <w:rPr>
          <w:rFonts w:hint="eastAsia" w:asciiTheme="majorEastAsia" w:hAnsiTheme="majorEastAsia" w:eastAsiaTheme="majorEastAsia"/>
          <w:szCs w:val="21"/>
        </w:rPr>
        <w:t xml:space="preserve"> 中标供应商的投标文件有效期，截止于完成本招标文件规定的全部项目内容，并通过竣工验收及保修期结束。</w:t>
      </w:r>
    </w:p>
    <w:bookmarkEnd w:id="45"/>
    <w:p w14:paraId="23213E4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21．</w:t>
      </w:r>
      <w:bookmarkStart w:id="46" w:name="_Hlk72402325"/>
      <w:r>
        <w:rPr>
          <w:rFonts w:hint="eastAsia" w:asciiTheme="majorEastAsia" w:hAnsiTheme="majorEastAsia" w:eastAsiaTheme="majorEastAsia"/>
          <w:szCs w:val="21"/>
        </w:rPr>
        <w:t xml:space="preserve">关于投标保证金 </w:t>
      </w:r>
    </w:p>
    <w:p w14:paraId="5E265D1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21.1 根据《</w:t>
      </w:r>
      <w:r>
        <w:rPr>
          <w:rFonts w:asciiTheme="majorEastAsia" w:hAnsiTheme="majorEastAsia" w:eastAsiaTheme="majorEastAsia"/>
          <w:szCs w:val="21"/>
        </w:rPr>
        <w:t>深圳市财政局关于明确政府采购保证金管理工作的通知</w:t>
      </w:r>
      <w:r>
        <w:rPr>
          <w:rFonts w:hint="eastAsia" w:asciiTheme="majorEastAsia" w:hAnsiTheme="majorEastAsia" w:eastAsiaTheme="majorEastAsia"/>
          <w:szCs w:val="21"/>
        </w:rPr>
        <w:t>》（深财购[</w:t>
      </w:r>
      <w:r>
        <w:rPr>
          <w:rFonts w:asciiTheme="majorEastAsia" w:hAnsiTheme="majorEastAsia" w:eastAsiaTheme="majorEastAsia"/>
          <w:szCs w:val="21"/>
        </w:rPr>
        <w:t>2019]42</w:t>
      </w:r>
      <w:r>
        <w:rPr>
          <w:rFonts w:hint="eastAsia" w:asciiTheme="majorEastAsia" w:hAnsiTheme="majorEastAsia" w:eastAsiaTheme="majorEastAsia"/>
          <w:szCs w:val="21"/>
        </w:rPr>
        <w:t>号）文的规定，本项目不收取投标保证金。</w:t>
      </w:r>
    </w:p>
    <w:p w14:paraId="085C088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22．投标人的替代方案</w:t>
      </w:r>
    </w:p>
    <w:p w14:paraId="21AFC2B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94A3CB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6"/>
    <w:p w14:paraId="3BCA1606">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23．</w:t>
      </w:r>
      <w:bookmarkStart w:id="47" w:name="_Hlk72402860"/>
      <w:r>
        <w:rPr>
          <w:rFonts w:asciiTheme="majorEastAsia" w:hAnsiTheme="majorEastAsia" w:eastAsiaTheme="majorEastAsia"/>
          <w:b/>
          <w:bCs/>
          <w:szCs w:val="21"/>
        </w:rPr>
        <w:t>投标文件的</w:t>
      </w:r>
      <w:r>
        <w:rPr>
          <w:rFonts w:hint="eastAsia" w:asciiTheme="majorEastAsia" w:hAnsiTheme="majorEastAsia" w:eastAsiaTheme="majorEastAsia"/>
          <w:b/>
          <w:bCs/>
          <w:szCs w:val="21"/>
        </w:rPr>
        <w:t>制作</w:t>
      </w:r>
      <w:r>
        <w:rPr>
          <w:rFonts w:asciiTheme="majorEastAsia" w:hAnsiTheme="majorEastAsia" w:eastAsiaTheme="majorEastAsia"/>
          <w:b/>
          <w:bCs/>
          <w:szCs w:val="21"/>
        </w:rPr>
        <w:t>要求</w:t>
      </w:r>
    </w:p>
    <w:p w14:paraId="2AD95E4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23.1投标人应准备所投项目的电子投标文件一份。此电子投标文件须由投标人根据采购代理机构提供的后缀名为.szczf的电子招标文件，下载并使用相应的深圳智慧采购平台投标文件制作专用软件打开招标文件（.szczf格式）【下载地址：</w:t>
      </w:r>
      <w:r>
        <w:rPr>
          <w:rFonts w:asciiTheme="majorEastAsia" w:hAnsiTheme="majorEastAsia" w:eastAsiaTheme="majorEastAsia"/>
          <w:szCs w:val="21"/>
        </w:rPr>
        <w:t>http://zfcg.szggzy.com/</w:t>
      </w:r>
      <w:r>
        <w:rPr>
          <w:rFonts w:hint="eastAsia" w:asciiTheme="majorEastAsia" w:hAnsiTheme="majorEastAsia" w:eastAsiaTheme="majorEastAsia"/>
          <w:szCs w:val="21"/>
        </w:rPr>
        <w:t>TPBidder/DownLoad/深圳市智慧采购平台投标文件制作专用软件.zip】。</w:t>
      </w:r>
    </w:p>
    <w:p w14:paraId="2F2A475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23.2投标人在使用《投标文件制作软件》编制投标书时须注意：</w:t>
      </w:r>
    </w:p>
    <w:p w14:paraId="14861C9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23.2.1导入《投标文件制作软件》的招标文件项目编号、包号应与以此制作的投标文件项目编号、包号一致。例如，不能将甲项目A包的招标书导入《投标文件制作软件》，制作乙项目B包的投标书。</w:t>
      </w:r>
    </w:p>
    <w:p w14:paraId="3C6222F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23.2.2不能用非本公司的电子密钥加密本公司的投标文件，或者用其它公司的登录用户上传本公司的投标文件。</w:t>
      </w:r>
    </w:p>
    <w:p w14:paraId="27E5ACE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23.2.3要求用《投标文件制作软件》编制投标书的包，不能用其它方式编制投标书。编制投标文件时，电脑须连通互联网。</w:t>
      </w:r>
    </w:p>
    <w:p w14:paraId="12F68EA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23.2.4投标文件不能带病毒。采购代理机构将用专业杀毒软件对投标文件进行病毒检测，如果这两种软件均报告发现病毒，则采购代理机构认为该投标文件带病毒。</w:t>
      </w:r>
    </w:p>
    <w:p w14:paraId="1AF20B3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23.2.5完整填写“投标关键信息”，如下图所示：</w:t>
      </w:r>
    </w:p>
    <w:p w14:paraId="38FFC1DF">
      <w:pPr>
        <w:tabs>
          <w:tab w:val="left" w:pos="0"/>
        </w:tabs>
        <w:spacing w:line="360" w:lineRule="auto"/>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5278755" cy="2721610"/>
            <wp:effectExtent l="0" t="0" r="0" b="2540"/>
            <wp:docPr id="8"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图形用户界面, 应用程序&#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4BCB144B">
      <w:pPr>
        <w:spacing w:line="360" w:lineRule="auto"/>
        <w:ind w:firstLine="413" w:firstLineChars="196"/>
        <w:rPr>
          <w:rFonts w:asciiTheme="majorEastAsia" w:hAnsiTheme="majorEastAsia" w:eastAsiaTheme="majorEastAsia"/>
          <w:b/>
          <w:szCs w:val="21"/>
        </w:rPr>
      </w:pPr>
      <w:r>
        <w:rPr>
          <w:rFonts w:hint="eastAsia" w:asciiTheme="majorEastAsia" w:hAnsiTheme="majorEastAsia" w:eastAsiaTheme="majorEastAsia"/>
          <w:b/>
          <w:szCs w:val="21"/>
        </w:rPr>
        <w:t>备注：上述“开标一览表”中的“投标总价”将作为价格分计算依据；其它信息仅是对投标文件相关内容的概括性表述，不作为评审依据。</w:t>
      </w:r>
    </w:p>
    <w:p w14:paraId="0B582A7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23.2.6投标人在编辑投标文件时，</w:t>
      </w:r>
      <w:r>
        <w:rPr>
          <w:rFonts w:hint="eastAsia" w:asciiTheme="majorEastAsia" w:hAnsiTheme="majorEastAsia" w:eastAsiaTheme="majorEastAsia"/>
          <w:b/>
          <w:szCs w:val="21"/>
        </w:rPr>
        <w:t>在投标文件目录中属于本节点内容的必须在本节点中填写，填写到其他节点或附件，</w:t>
      </w:r>
      <w:r>
        <w:rPr>
          <w:rFonts w:hint="eastAsia" w:asciiTheme="majorEastAsia" w:hAnsiTheme="majorEastAsia" w:eastAsiaTheme="majorEastAsia"/>
          <w:szCs w:val="21"/>
        </w:rPr>
        <w:t>一切后果由供应商自行承担。</w:t>
      </w:r>
    </w:p>
    <w:p w14:paraId="7B29406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23.2.7投标文件编写完成后，</w:t>
      </w:r>
      <w:r>
        <w:rPr>
          <w:rFonts w:hint="eastAsia" w:asciiTheme="majorEastAsia" w:hAnsiTheme="majorEastAsia" w:eastAsiaTheme="majorEastAsia"/>
          <w:b/>
          <w:szCs w:val="21"/>
        </w:rPr>
        <w:t>必须用属于投标人的电子密钥进行加密，否则视同未盖公章，将导致投标文件无效。</w:t>
      </w:r>
    </w:p>
    <w:p w14:paraId="6FEDC21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226CEFA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23.2.9如果开标时出现网络故障、技术故障，影响了政府采购活动，采购代理机构有权采取措施如延期、接受无法从网上上传的投标书等，以保障政府采购活动的公开、公平和公正。</w:t>
      </w:r>
    </w:p>
    <w:p w14:paraId="3B3A2B7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23.3电报、电话、传真形式的投标概不接受。</w:t>
      </w:r>
    </w:p>
    <w:p w14:paraId="762866A0">
      <w:pPr>
        <w:spacing w:line="360" w:lineRule="auto"/>
        <w:ind w:firstLine="413" w:firstLineChars="196"/>
        <w:rPr>
          <w:rFonts w:asciiTheme="majorEastAsia" w:hAnsiTheme="majorEastAsia" w:eastAsiaTheme="majorEastAsia"/>
          <w:b/>
          <w:szCs w:val="21"/>
        </w:rPr>
      </w:pPr>
      <w:r>
        <w:rPr>
          <w:rFonts w:hint="eastAsia" w:asciiTheme="majorEastAsia" w:hAnsiTheme="majorEastAsia" w:eastAsiaTheme="majorEastAsia"/>
          <w:b/>
          <w:szCs w:val="21"/>
        </w:rPr>
        <w:t>23.4经投标人电子密钥加密的投标文件无须盖章或签字，</w:t>
      </w:r>
      <w:r>
        <w:rPr>
          <w:rFonts w:hint="eastAsia" w:asciiTheme="majorEastAsia" w:hAnsiTheme="majorEastAsia" w:eastAsiaTheme="majorEastAsia"/>
          <w:szCs w:val="21"/>
        </w:rPr>
        <w:t>专用条款另有要求的除外。</w:t>
      </w:r>
    </w:p>
    <w:p w14:paraId="6D0E5046">
      <w:pPr>
        <w:spacing w:line="360" w:lineRule="auto"/>
        <w:ind w:firstLine="413" w:firstLineChars="196"/>
        <w:rPr>
          <w:rFonts w:asciiTheme="majorEastAsia" w:hAnsiTheme="majorEastAsia" w:eastAsiaTheme="majorEastAsia"/>
          <w:szCs w:val="21"/>
        </w:rPr>
      </w:pPr>
      <w:r>
        <w:rPr>
          <w:rFonts w:hint="eastAsia" w:asciiTheme="majorEastAsia" w:hAnsiTheme="majorEastAsia" w:eastAsiaTheme="majorEastAsia"/>
          <w:b/>
          <w:szCs w:val="21"/>
        </w:rPr>
        <w:t>23.5</w:t>
      </w:r>
      <w:r>
        <w:rPr>
          <w:rFonts w:hint="eastAsia" w:asciiTheme="majorEastAsia" w:hAnsiTheme="majorEastAsia" w:eastAsiaTheme="majorEastAsia"/>
          <w:szCs w:val="21"/>
        </w:rPr>
        <w:t xml:space="preserve"> 各类资格（资质）文件提供扫描件，专用条款另有要求的除外。</w:t>
      </w:r>
      <w:bookmarkEnd w:id="47"/>
    </w:p>
    <w:p w14:paraId="3727EF68">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投标文件的递交</w:t>
      </w:r>
      <w:bookmarkStart w:id="48" w:name="_Hlk72405459"/>
    </w:p>
    <w:p w14:paraId="1D71F9D1">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24．投标书的保密</w:t>
      </w:r>
    </w:p>
    <w:p w14:paraId="624CF72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标文件自动进行加密，此加密程序确保投标文件在到达开标时间后才能解密查看。在加密过程中，请按照软件提示进行操作。加密操作界面如下图所示：</w:t>
      </w:r>
    </w:p>
    <w:p w14:paraId="3D8E052F">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5278755" cy="2721610"/>
            <wp:effectExtent l="0" t="0" r="0" b="2540"/>
            <wp:docPr id="9"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图形用户界面, 应用程序&#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04B0A3C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在投标文件制作软件点击【生成标书】按钮进入【填写开标一览表界面】界面，在该界面填写完开标一览表信息后点击【确定】，进入投标文件生成环节。</w:t>
      </w:r>
      <w:r>
        <w:rPr>
          <w:rFonts w:asciiTheme="majorEastAsia" w:hAnsiTheme="majorEastAsia" w:eastAsiaTheme="majorEastAsia"/>
          <w:szCs w:val="21"/>
        </w:rPr>
        <w:drawing>
          <wp:inline distT="0" distB="0" distL="0" distR="0">
            <wp:extent cx="5278755" cy="2732405"/>
            <wp:effectExtent l="0" t="0" r="0" b="0"/>
            <wp:docPr id="12"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图形用户界面&#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14:paraId="38554BD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投标文件制作软件会在投标文件生成过程中，提示用户输入密码，输入密码后对标文件自动进行加密。</w:t>
      </w:r>
    </w:p>
    <w:p w14:paraId="48B8E180">
      <w:pPr>
        <w:spacing w:line="360" w:lineRule="auto"/>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24.2若采购项目出现延期情况：</w:t>
      </w:r>
    </w:p>
    <w:p w14:paraId="548BA4F9">
      <w:pPr>
        <w:spacing w:line="360" w:lineRule="auto"/>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如果供下载的招标文件（后缀名为.</w:t>
      </w:r>
      <w:r>
        <w:rPr>
          <w:rFonts w:asciiTheme="majorEastAsia" w:hAnsiTheme="majorEastAsia" w:eastAsiaTheme="majorEastAsia"/>
          <w:b/>
          <w:szCs w:val="21"/>
        </w:rPr>
        <w:t>szczf</w:t>
      </w:r>
      <w:r>
        <w:rPr>
          <w:rFonts w:hint="eastAsia" w:asciiTheme="majorEastAsia" w:hAnsiTheme="majorEastAsia" w:eastAsiaTheme="majorEastAsia"/>
          <w:b/>
          <w:szCs w:val="21"/>
        </w:rPr>
        <w:t>）有更新，投标人必须重新下载招标文件、重新制作投标文件、重新加密投标文件、重新上传投标文件；如果供下载的招标文件（后缀名为.</w:t>
      </w:r>
      <w:r>
        <w:rPr>
          <w:rFonts w:asciiTheme="majorEastAsia" w:hAnsiTheme="majorEastAsia" w:eastAsiaTheme="majorEastAsia"/>
          <w:b/>
          <w:szCs w:val="21"/>
        </w:rPr>
        <w:t>szczf</w:t>
      </w:r>
      <w:r>
        <w:rPr>
          <w:rFonts w:hint="eastAsia" w:asciiTheme="majorEastAsia" w:hAnsiTheme="majorEastAsia" w:eastAsiaTheme="majorEastAsia"/>
          <w:b/>
          <w:szCs w:val="21"/>
        </w:rPr>
        <w:t>）没有更新，投标人必须重新加密投标文件、重新上传投标文件（是否重新制作投标文件根据项目实际情况定）。否则，投标人自行承担投标文件无法解密导致投标无效的后果。</w:t>
      </w:r>
    </w:p>
    <w:p w14:paraId="07CC2C83">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25．上传投标文件及投标截止日期</w:t>
      </w:r>
    </w:p>
    <w:p w14:paraId="6023C7F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25</w:t>
      </w:r>
      <w:r>
        <w:rPr>
          <w:rFonts w:asciiTheme="majorEastAsia" w:hAnsiTheme="majorEastAsia" w:eastAsiaTheme="majorEastAsia"/>
          <w:szCs w:val="21"/>
        </w:rPr>
        <w:t>.</w:t>
      </w:r>
      <w:r>
        <w:rPr>
          <w:rFonts w:hint="eastAsia" w:asciiTheme="majorEastAsia" w:hAnsiTheme="majorEastAsia" w:eastAsiaTheme="majorEastAsia"/>
          <w:szCs w:val="21"/>
        </w:rPr>
        <w:t>1实行网上投标，</w:t>
      </w:r>
      <w:r>
        <w:rPr>
          <w:rFonts w:asciiTheme="majorEastAsia" w:hAnsiTheme="majorEastAsia" w:eastAsiaTheme="majorEastAsia"/>
          <w:szCs w:val="21"/>
        </w:rPr>
        <w:t>投标人必须</w:t>
      </w:r>
      <w:r>
        <w:rPr>
          <w:rFonts w:hint="eastAsia" w:asciiTheme="majorEastAsia" w:hAnsiTheme="majorEastAsia" w:eastAsiaTheme="majorEastAsia"/>
          <w:szCs w:val="21"/>
        </w:rPr>
        <w:t>在招标</w:t>
      </w:r>
      <w:r>
        <w:rPr>
          <w:rFonts w:asciiTheme="majorEastAsia" w:hAnsiTheme="majorEastAsia" w:eastAsiaTheme="majorEastAsia"/>
          <w:szCs w:val="21"/>
        </w:rPr>
        <w:t>文件规定的投标截止时间前</w:t>
      </w:r>
      <w:r>
        <w:rPr>
          <w:rFonts w:hint="eastAsia" w:asciiTheme="majorEastAsia" w:hAnsiTheme="majorEastAsia" w:eastAsiaTheme="majorEastAsia"/>
          <w:szCs w:val="21"/>
        </w:rPr>
        <w:t>用电子密钥登录“深圳政府采购智慧平台用户网上办事子系统（http://zfcg.szggzy.com/TPBidder/memberLogin）”，用“【我的项目】→【项目流程】→【递交投标(应答)文件】”功能点上传投标文件。</w:t>
      </w:r>
    </w:p>
    <w:p w14:paraId="7C28008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41ED83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25</w:t>
      </w:r>
      <w:r>
        <w:rPr>
          <w:rFonts w:asciiTheme="majorEastAsia" w:hAnsiTheme="majorEastAsia" w:eastAsiaTheme="majorEastAsia"/>
          <w:szCs w:val="21"/>
        </w:rPr>
        <w:t>.</w:t>
      </w:r>
      <w:r>
        <w:rPr>
          <w:rFonts w:hint="eastAsia" w:asciiTheme="majorEastAsia" w:hAnsiTheme="majorEastAsia" w:eastAsiaTheme="majorEastAsia"/>
          <w:szCs w:val="21"/>
        </w:rPr>
        <w:t>3投标截止时间以后不得上传投标文件。</w:t>
      </w:r>
    </w:p>
    <w:p w14:paraId="293E024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25.4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bookmarkEnd w:id="48"/>
    <w:p w14:paraId="39BBE85F">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26. 样品、现场演示、方案讲解</w:t>
      </w:r>
    </w:p>
    <w:p w14:paraId="1CDF153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26.1 样品、现场演示、方案讲解等事项在招标文件专用条款中进行规定。</w:t>
      </w:r>
    </w:p>
    <w:p w14:paraId="3E0B048C">
      <w:pPr>
        <w:spacing w:line="360" w:lineRule="auto"/>
        <w:rPr>
          <w:rFonts w:asciiTheme="majorEastAsia" w:hAnsiTheme="majorEastAsia" w:eastAsiaTheme="majorEastAsia"/>
          <w:b/>
          <w:bCs/>
          <w:szCs w:val="21"/>
        </w:rPr>
      </w:pPr>
      <w:bookmarkStart w:id="49" w:name="_Hlk72428346"/>
      <w:r>
        <w:rPr>
          <w:rFonts w:asciiTheme="majorEastAsia" w:hAnsiTheme="majorEastAsia" w:eastAsiaTheme="majorEastAsia"/>
          <w:b/>
          <w:bCs/>
          <w:szCs w:val="21"/>
        </w:rPr>
        <w:t>2</w:t>
      </w:r>
      <w:r>
        <w:rPr>
          <w:rFonts w:hint="eastAsia" w:asciiTheme="majorEastAsia" w:hAnsiTheme="majorEastAsia" w:eastAsiaTheme="majorEastAsia"/>
          <w:b/>
          <w:bCs/>
          <w:szCs w:val="21"/>
        </w:rPr>
        <w:t>7．</w:t>
      </w:r>
      <w:r>
        <w:rPr>
          <w:rFonts w:asciiTheme="majorEastAsia" w:hAnsiTheme="majorEastAsia" w:eastAsiaTheme="majorEastAsia"/>
          <w:b/>
          <w:bCs/>
          <w:szCs w:val="21"/>
        </w:rPr>
        <w:t>投标文件的修改和撤销</w:t>
      </w:r>
    </w:p>
    <w:p w14:paraId="388803B9">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1</w:t>
      </w:r>
      <w:r>
        <w:rPr>
          <w:rFonts w:asciiTheme="majorEastAsia" w:hAnsiTheme="majorEastAsia" w:eastAsiaTheme="majorEastAsia"/>
          <w:szCs w:val="21"/>
        </w:rPr>
        <w:t>投标方在提交投标文件后可对其投标文件进行修改</w:t>
      </w:r>
      <w:r>
        <w:rPr>
          <w:rFonts w:hint="eastAsia" w:asciiTheme="majorEastAsia" w:hAnsiTheme="majorEastAsia" w:eastAsiaTheme="majorEastAsia"/>
          <w:szCs w:val="21"/>
        </w:rPr>
        <w:t>并重新上传投标文件</w:t>
      </w:r>
      <w:r>
        <w:rPr>
          <w:rFonts w:asciiTheme="majorEastAsia" w:hAnsiTheme="majorEastAsia" w:eastAsiaTheme="majorEastAsia"/>
          <w:szCs w:val="21"/>
        </w:rPr>
        <w:t>或</w:t>
      </w:r>
      <w:r>
        <w:rPr>
          <w:rFonts w:hint="eastAsia" w:asciiTheme="majorEastAsia" w:hAnsiTheme="majorEastAsia" w:eastAsiaTheme="majorEastAsia"/>
          <w:szCs w:val="21"/>
        </w:rPr>
        <w:t>在网上进行</w:t>
      </w:r>
      <w:r>
        <w:rPr>
          <w:rFonts w:asciiTheme="majorEastAsia" w:hAnsiTheme="majorEastAsia" w:eastAsiaTheme="majorEastAsia"/>
          <w:szCs w:val="21"/>
        </w:rPr>
        <w:t>撤销</w:t>
      </w:r>
      <w:r>
        <w:rPr>
          <w:rFonts w:hint="eastAsia" w:asciiTheme="majorEastAsia" w:hAnsiTheme="majorEastAsia" w:eastAsiaTheme="majorEastAsia"/>
          <w:szCs w:val="21"/>
        </w:rPr>
        <w:t>投标的操作</w:t>
      </w:r>
      <w:r>
        <w:rPr>
          <w:rFonts w:asciiTheme="majorEastAsia" w:hAnsiTheme="majorEastAsia" w:eastAsiaTheme="majorEastAsia"/>
          <w:szCs w:val="21"/>
        </w:rPr>
        <w:t>。</w:t>
      </w:r>
    </w:p>
    <w:p w14:paraId="317DC6A9">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投标截止时间以后不得修改投标文件。</w:t>
      </w:r>
    </w:p>
    <w:p w14:paraId="5139E5CC">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3从投标截止期至投标人在投标文件中确定的投标有效期之间的这段时间内，投标人不得撤回其投标。</w:t>
      </w:r>
    </w:p>
    <w:p w14:paraId="3F62120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27.4采购代理机构不退还投标文件，专用条款另有规定的除外。</w:t>
      </w:r>
    </w:p>
    <w:bookmarkEnd w:id="49"/>
    <w:p w14:paraId="78D5BC31">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开标</w:t>
      </w:r>
    </w:p>
    <w:p w14:paraId="17802E37">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28．开标</w:t>
      </w:r>
    </w:p>
    <w:p w14:paraId="3A3E7F09">
      <w:pPr>
        <w:spacing w:line="360"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8</w:t>
      </w:r>
      <w:r>
        <w:rPr>
          <w:rFonts w:asciiTheme="majorEastAsia" w:hAnsiTheme="majorEastAsia" w:eastAsiaTheme="majorEastAsia"/>
          <w:szCs w:val="21"/>
        </w:rPr>
        <w:t>.</w:t>
      </w:r>
      <w:r>
        <w:rPr>
          <w:rFonts w:hint="eastAsia" w:asciiTheme="majorEastAsia" w:hAnsiTheme="majorEastAsia" w:eastAsiaTheme="majorEastAsia"/>
          <w:szCs w:val="21"/>
        </w:rPr>
        <w:t>1投标人须在开标当日的开标时间至解密截止时间内进行解密，逾期未解密的作无效处理。解密方法：登录“深圳政府采购智慧平台用户网上办事子系统（</w:t>
      </w:r>
      <w:r>
        <w:rPr>
          <w:rFonts w:asciiTheme="majorEastAsia" w:hAnsiTheme="majorEastAsia" w:eastAsiaTheme="majorEastAsia"/>
          <w:szCs w:val="21"/>
        </w:rPr>
        <w:t>http://zfcg.szggzy.com/</w:t>
      </w:r>
      <w:r>
        <w:rPr>
          <w:rFonts w:hint="eastAsia" w:asciiTheme="majorEastAsia" w:hAnsiTheme="majorEastAsia" w:eastAsiaTheme="majorEastAsia"/>
          <w:szCs w:val="21"/>
        </w:rPr>
        <w:t>TPBidder/memberLogin）”，使用本单位制作电子投标文件同一个电子密钥，在“【我的项目】→【项目流程】→【开标及解密】”进行在线解密、查询开标情况。</w:t>
      </w:r>
    </w:p>
    <w:p w14:paraId="5A94C477">
      <w:pPr>
        <w:spacing w:line="360" w:lineRule="auto"/>
        <w:ind w:firstLine="359" w:firstLineChars="171"/>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 xml:space="preserve">8.2 </w:t>
      </w:r>
      <w:r>
        <w:rPr>
          <w:rFonts w:hint="eastAsia" w:asciiTheme="majorEastAsia" w:hAnsiTheme="majorEastAsia" w:eastAsiaTheme="majorEastAsia"/>
          <w:szCs w:val="21"/>
        </w:rPr>
        <w:t>采购代理机构将在满足开标条件（</w:t>
      </w:r>
      <w:r>
        <w:rPr>
          <w:rFonts w:hint="eastAsia" w:cs="宋体" w:asciiTheme="majorEastAsia" w:hAnsiTheme="majorEastAsia" w:eastAsiaTheme="majorEastAsia"/>
          <w:color w:val="333333"/>
          <w:szCs w:val="21"/>
          <w:shd w:val="clear" w:color="auto" w:fill="FFFFFF"/>
        </w:rPr>
        <w:t>①</w:t>
      </w:r>
      <w:r>
        <w:rPr>
          <w:rFonts w:hint="eastAsia" w:asciiTheme="majorEastAsia" w:hAnsiTheme="majorEastAsia" w:eastAsiaTheme="majorEastAsia"/>
          <w:szCs w:val="21"/>
        </w:rPr>
        <w:t>解密时间结束，解密后的投标供应商数量满足开标要求或</w:t>
      </w:r>
      <w:r>
        <w:rPr>
          <w:rFonts w:hint="eastAsia" w:cs="宋体" w:asciiTheme="majorEastAsia" w:hAnsiTheme="majorEastAsia" w:eastAsiaTheme="majorEastAsia"/>
          <w:color w:val="333333"/>
          <w:szCs w:val="21"/>
          <w:shd w:val="clear" w:color="auto" w:fill="FFFFFF"/>
        </w:rPr>
        <w:t>②</w:t>
      </w:r>
      <w:r>
        <w:rPr>
          <w:rFonts w:hint="eastAsia" w:asciiTheme="majorEastAsia" w:hAnsiTheme="majorEastAsia" w:eastAsiaTheme="majorEastAsia"/>
          <w:szCs w:val="21"/>
        </w:rPr>
        <w:t>解密时间结束前所有投标供应商均完成投标文件解密）后，对投标文件进行开标，并在网上公布开标结果。</w:t>
      </w:r>
    </w:p>
    <w:p w14:paraId="6DA7F9BA">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评审要求</w:t>
      </w:r>
    </w:p>
    <w:p w14:paraId="26BBC071">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29．评审委员会组成</w:t>
      </w:r>
    </w:p>
    <w:p w14:paraId="27D7CBF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29.1网上开标结束后召开评审会议，评审委员会由采购代理机构依法组建，负责评审活动。</w:t>
      </w:r>
    </w:p>
    <w:p w14:paraId="2F82B4CF">
      <w:pPr>
        <w:spacing w:line="360" w:lineRule="auto"/>
        <w:ind w:firstLine="411" w:firstLineChars="196"/>
        <w:rPr>
          <w:rFonts w:asciiTheme="majorEastAsia" w:hAnsiTheme="majorEastAsia" w:eastAsiaTheme="majorEastAsia"/>
          <w:szCs w:val="21"/>
        </w:rPr>
      </w:pPr>
      <w:bookmarkStart w:id="50" w:name="_Hlk72436580"/>
      <w:r>
        <w:rPr>
          <w:rFonts w:hint="eastAsia" w:asciiTheme="majorEastAsia" w:hAnsiTheme="majorEastAsia" w:eastAsiaTheme="majorEastAsia"/>
          <w:szCs w:val="21"/>
        </w:rPr>
        <w:t>评审委员会由采购人代表和评审专家组成，成员人数应当为5人以上单数（部分条件下为7人以上单数），其中评审专家不得少于成员总数的三分之二。</w:t>
      </w:r>
      <w:bookmarkEnd w:id="50"/>
      <w:r>
        <w:rPr>
          <w:rFonts w:hint="eastAsia" w:asciiTheme="majorEastAsia" w:hAnsiTheme="majorEastAsia" w:eastAsiaTheme="majorEastAsia"/>
          <w:szCs w:val="21"/>
        </w:rPr>
        <w:t>评定分离项目</w:t>
      </w:r>
      <w:r>
        <w:rPr>
          <w:rFonts w:asciiTheme="majorEastAsia" w:hAnsiTheme="majorEastAsia" w:eastAsiaTheme="majorEastAsia"/>
          <w:szCs w:val="21"/>
        </w:rPr>
        <w:t>评审专家</w:t>
      </w:r>
      <w:r>
        <w:rPr>
          <w:rFonts w:hint="eastAsia" w:asciiTheme="majorEastAsia" w:hAnsiTheme="majorEastAsia" w:eastAsiaTheme="majorEastAsia"/>
          <w:szCs w:val="21"/>
        </w:rPr>
        <w:t>均</w:t>
      </w:r>
      <w:r>
        <w:rPr>
          <w:rFonts w:asciiTheme="majorEastAsia" w:hAnsiTheme="majorEastAsia" w:eastAsiaTheme="majorEastAsia"/>
          <w:szCs w:val="21"/>
        </w:rPr>
        <w:t>由</w:t>
      </w:r>
      <w:r>
        <w:rPr>
          <w:rFonts w:hint="eastAsia" w:asciiTheme="majorEastAsia" w:hAnsiTheme="majorEastAsia" w:eastAsiaTheme="majorEastAsia"/>
          <w:szCs w:val="21"/>
        </w:rPr>
        <w:t>评审专家组成。评审专家一般是从深圳市政府采购评审专家库中随机抽取。采购人代表须持本单位签发的《评审授权书》参加评审。</w:t>
      </w:r>
    </w:p>
    <w:p w14:paraId="7D76BBE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29.2评审定标应当遵循公平、公正、科学、择优的原则。</w:t>
      </w:r>
    </w:p>
    <w:p w14:paraId="24A21DD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29.3评审活动依法进行，任何单位和个人不得非法干预评标过程和结果。</w:t>
      </w:r>
    </w:p>
    <w:p w14:paraId="5089C00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29.4评审过程中不允许违背评标程序或采用招标文件未载明的评标方法或评标因素进行评标。</w:t>
      </w:r>
    </w:p>
    <w:p w14:paraId="09AEA153">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29.5 开标后，直到签订合同为止，凡属于对投标文件的审查、澄清、评价和比较的有关资料以及中标候选人的推荐情况、与评审有关的其他任何情况均严格保密（</w:t>
      </w:r>
      <w:r>
        <w:rPr>
          <w:rFonts w:hint="eastAsia" w:asciiTheme="majorEastAsia" w:hAnsiTheme="majorEastAsia" w:eastAsiaTheme="majorEastAsia"/>
          <w:szCs w:val="21"/>
        </w:rPr>
        <w:t>信息公开的内容除外</w:t>
      </w:r>
      <w:r>
        <w:rPr>
          <w:rFonts w:hint="eastAsia" w:asciiTheme="majorEastAsia" w:hAnsiTheme="majorEastAsia" w:eastAsiaTheme="majorEastAsia"/>
          <w:bCs/>
          <w:szCs w:val="21"/>
        </w:rPr>
        <w:t>）。</w:t>
      </w:r>
    </w:p>
    <w:p w14:paraId="034C7B6B">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30．向评审委员会提供的资料</w:t>
      </w:r>
    </w:p>
    <w:p w14:paraId="3D64644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30.1公开发布的招标文件，包括图纸、服务清单、答疑文件等；</w:t>
      </w:r>
    </w:p>
    <w:p w14:paraId="21A2825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30.2其他评标必须的资料。</w:t>
      </w:r>
    </w:p>
    <w:p w14:paraId="1D56A00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30.3评审委员会应当认真研究招标文件，至少应了解熟悉以下内容：</w:t>
      </w:r>
    </w:p>
    <w:p w14:paraId="54BA3F2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（1）招标的目的；</w:t>
      </w:r>
    </w:p>
    <w:p w14:paraId="383FD0B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（2）招标项目需求的范围和性质；</w:t>
      </w:r>
    </w:p>
    <w:p w14:paraId="4389B33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（3）招标文件规定的投标人的资格、财政预算限额、商务条款；</w:t>
      </w:r>
    </w:p>
    <w:p w14:paraId="0312BA5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（4）招标文件规定的评标程序、评标方法和评标因素；</w:t>
      </w:r>
    </w:p>
    <w:p w14:paraId="3AB4B56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（5）招标文件所列示的资格性审查表及符合性审查表。</w:t>
      </w:r>
    </w:p>
    <w:p w14:paraId="3A4E8A7B">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31．独立评审</w:t>
      </w:r>
    </w:p>
    <w:p w14:paraId="6B8EC0C7">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w:t>
      </w:r>
      <w:r>
        <w:rPr>
          <w:rFonts w:asciiTheme="majorEastAsia" w:hAnsiTheme="majorEastAsia" w:eastAsiaTheme="majorEastAsia"/>
          <w:bCs/>
          <w:szCs w:val="21"/>
        </w:rPr>
        <w:t>1</w:t>
      </w:r>
      <w:r>
        <w:rPr>
          <w:rFonts w:hint="eastAsia" w:asciiTheme="majorEastAsia" w:hAnsiTheme="majorEastAsia" w:eastAsiaTheme="majorEastAsia"/>
          <w:bCs/>
          <w:szCs w:val="21"/>
        </w:rPr>
        <w:t>.1</w:t>
      </w:r>
      <w:r>
        <w:rPr>
          <w:rFonts w:hint="eastAsia" w:asciiTheme="majorEastAsia" w:hAnsiTheme="majorEastAsia" w:eastAsiaTheme="majorEastAsia"/>
          <w:szCs w:val="21"/>
        </w:rPr>
        <w:t>评审委员会</w:t>
      </w:r>
      <w:r>
        <w:rPr>
          <w:rFonts w:hint="eastAsia" w:asciiTheme="majorEastAsia" w:hAnsiTheme="majorEastAsia" w:eastAsiaTheme="majorEastAsia"/>
          <w:bCs/>
          <w:szCs w:val="21"/>
        </w:rPr>
        <w:t>成员的评标活动应当独立进行，并应遵循投标文件初审、澄清有关问题、比较与评价、确定中标供应商、编写评审报告的工作程序。</w:t>
      </w:r>
    </w:p>
    <w:p w14:paraId="7FEEC99F">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评审程序及评审方法</w:t>
      </w:r>
    </w:p>
    <w:p w14:paraId="62E00C76">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32．投标文件初审</w:t>
      </w:r>
    </w:p>
    <w:p w14:paraId="795E395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32.1投标文件初审包括资格性审查和符合性审查。</w:t>
      </w:r>
    </w:p>
    <w:p w14:paraId="6515896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资格性审查：依据法律法规和招标文件的规定，对投标文件中的资格证明等进行审查，以确定投标供应商是否具备投标资格。</w:t>
      </w:r>
    </w:p>
    <w:p w14:paraId="6F9A3C3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符合性审查：依据招标文件的规定，对投标文件的有效性、完整性和对招标文件的响应程度进行审查，以确定是否满足符合性审查的要求。</w:t>
      </w:r>
    </w:p>
    <w:p w14:paraId="6DC44D3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32.2 投标文件初审内容请详见《资格性审查表》和《符合性审查表》部分。投标人若有一条审查不通过则按投标无效处理。</w:t>
      </w:r>
    </w:p>
    <w:p w14:paraId="24144365">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32.3 投标文件初审中关于供应商家数的计算:</w:t>
      </w:r>
    </w:p>
    <w:p w14:paraId="4BA29545">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8829604">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312506F">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32.3.3非单一产品采购项目，采购人应当根据采购项目技术构成、产品价格比重等合理确定核心产品，并在招标文件中载明。多家投标人提供的核心产品品牌相同的，按前两款规定处理。</w:t>
      </w:r>
    </w:p>
    <w:p w14:paraId="3AAC7EA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32.4投标人投标文件作无效处理的情形，具体包括但不限于以下：</w:t>
      </w:r>
    </w:p>
    <w:p w14:paraId="26C17CE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32.4.1不同投标人的投标文件由同一单位或者同一个人编制，或者由同一个人分阶段参与编制；</w:t>
      </w:r>
    </w:p>
    <w:p w14:paraId="486B0121">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32.4.</w:t>
      </w:r>
      <w:r>
        <w:rPr>
          <w:rFonts w:hint="eastAsia" w:asciiTheme="majorEastAsia" w:hAnsiTheme="majorEastAsia" w:eastAsiaTheme="majorEastAsia"/>
          <w:szCs w:val="21"/>
        </w:rPr>
        <w:t>2不同投标人委托同一单位或者个人办理投标事宜；</w:t>
      </w:r>
    </w:p>
    <w:p w14:paraId="10BB19D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32.4.3不同投标人的投标文件载明的项目管理成员或者联系人员为同一人；</w:t>
      </w:r>
    </w:p>
    <w:p w14:paraId="6DDD154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32.4.4不同投标人的投标文件异常一致或者投标报价呈规律性差异；</w:t>
      </w:r>
    </w:p>
    <w:p w14:paraId="3C0158F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32.4.5</w:t>
      </w:r>
      <w:r>
        <w:rPr>
          <w:rFonts w:asciiTheme="majorEastAsia" w:hAnsiTheme="majorEastAsia" w:eastAsiaTheme="majorEastAsia"/>
          <w:szCs w:val="21"/>
        </w:rPr>
        <w:t>不同投标供应商的投标文件或部分投标文件相互混装</w:t>
      </w:r>
      <w:r>
        <w:rPr>
          <w:rFonts w:hint="eastAsia" w:asciiTheme="majorEastAsia" w:hAnsiTheme="majorEastAsia" w:eastAsiaTheme="majorEastAsia"/>
          <w:szCs w:val="21"/>
        </w:rPr>
        <w:t>；</w:t>
      </w:r>
    </w:p>
    <w:p w14:paraId="378EBE1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32.4.6投标供应商之间相互约定给予未中标的供应商利益补偿；</w:t>
      </w:r>
    </w:p>
    <w:p w14:paraId="48767BA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32.4.7不同投标供应商的法定代表人、主要经营负责人、项目投标授权代表人、项目负责人、主要技术人员为同一人、属同一单位或者同一单位缴纳社会保险；</w:t>
      </w:r>
    </w:p>
    <w:p w14:paraId="2B7A05E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32.4.8不同投标供应商的投标文件内容存在非正常一致；</w:t>
      </w:r>
    </w:p>
    <w:p w14:paraId="52E2B3B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32.4.9在同一单位工作人员为两家以上（含两家）供应商进行同一项投标活动；</w:t>
      </w:r>
    </w:p>
    <w:p w14:paraId="37E75A8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32.4.10主管部门依照法律、法规认定的其他情形。</w:t>
      </w:r>
    </w:p>
    <w:p w14:paraId="488DD9F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32.5对不属于《资格性审查表》和《符合性审查表》所列的其他情形，除专用条款另有规定和32.4条款所列情形外，不得作为投标无效的理由。</w:t>
      </w:r>
    </w:p>
    <w:p w14:paraId="0F4FFD12">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33．澄清有关问题</w:t>
      </w:r>
    </w:p>
    <w:p w14:paraId="7057FF3F">
      <w:pPr>
        <w:spacing w:line="360" w:lineRule="auto"/>
        <w:ind w:firstLine="411" w:firstLineChars="196"/>
        <w:rPr>
          <w:rFonts w:asciiTheme="majorEastAsia" w:hAnsiTheme="majorEastAsia" w:eastAsiaTheme="majorEastAsia"/>
          <w:szCs w:val="21"/>
        </w:rPr>
      </w:pPr>
      <w:bookmarkStart w:id="51" w:name="_Hlk71407321"/>
      <w:r>
        <w:rPr>
          <w:rFonts w:hint="eastAsia" w:asciiTheme="majorEastAsia" w:hAnsiTheme="majorEastAsia" w:eastAsiaTheme="majorEastAsia"/>
          <w:szCs w:val="21"/>
        </w:rPr>
        <w:t>3</w:t>
      </w:r>
      <w:r>
        <w:rPr>
          <w:rFonts w:asciiTheme="majorEastAsia" w:hAnsiTheme="majorEastAsia" w:eastAsiaTheme="majorEastAsia"/>
          <w:szCs w:val="21"/>
        </w:rPr>
        <w:t>3.1</w:t>
      </w:r>
      <w:r>
        <w:rPr>
          <w:rFonts w:hint="eastAsia" w:asciiTheme="majorEastAsia" w:hAnsiTheme="majorEastAsia" w:eastAsiaTheme="majorEastAsia"/>
          <w:szCs w:val="21"/>
        </w:rPr>
        <w:t>对招标文件中描述有歧义或前后不一致的地方（不含</w:t>
      </w:r>
      <w:r>
        <w:rPr>
          <w:rFonts w:asciiTheme="majorEastAsia" w:hAnsiTheme="majorEastAsia" w:eastAsiaTheme="majorEastAsia"/>
          <w:szCs w:val="21"/>
        </w:rPr>
        <w:t>招标文件存在歧义、重大缺陷导致评</w:t>
      </w:r>
      <w:r>
        <w:rPr>
          <w:rFonts w:hint="eastAsia" w:asciiTheme="majorEastAsia" w:hAnsiTheme="majorEastAsia" w:eastAsiaTheme="majorEastAsia"/>
          <w:szCs w:val="21"/>
        </w:rPr>
        <w:t>审</w:t>
      </w:r>
      <w:r>
        <w:rPr>
          <w:rFonts w:asciiTheme="majorEastAsia" w:hAnsiTheme="majorEastAsia" w:eastAsiaTheme="majorEastAsia"/>
          <w:szCs w:val="21"/>
        </w:rPr>
        <w:t>工作无法进行</w:t>
      </w:r>
      <w:r>
        <w:rPr>
          <w:rFonts w:hint="eastAsia" w:asciiTheme="majorEastAsia" w:hAnsiTheme="majorEastAsia" w:eastAsiaTheme="majorEastAsia"/>
          <w:szCs w:val="21"/>
        </w:rPr>
        <w:t>的情况），评审委员会有权进行评判，但对同一条款的评判应适用于每个投标人。</w:t>
      </w:r>
      <w:bookmarkEnd w:id="51"/>
    </w:p>
    <w:p w14:paraId="6F1AFE3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3.2评</w:t>
      </w:r>
      <w:r>
        <w:rPr>
          <w:rFonts w:hint="eastAsia" w:asciiTheme="majorEastAsia" w:hAnsiTheme="majorEastAsia" w:eastAsiaTheme="majorEastAsia"/>
          <w:szCs w:val="21"/>
        </w:rPr>
        <w:t>审</w:t>
      </w:r>
      <w:r>
        <w:rPr>
          <w:rFonts w:asciiTheme="majorEastAsia" w:hAnsiTheme="majorEastAsia" w:eastAsiaTheme="majorEastAsia"/>
          <w:szCs w:val="21"/>
        </w:rPr>
        <w:t>委员会发现招标文件存在歧义、重大缺陷导致评</w:t>
      </w:r>
      <w:r>
        <w:rPr>
          <w:rFonts w:hint="eastAsia" w:asciiTheme="majorEastAsia" w:hAnsiTheme="majorEastAsia" w:eastAsiaTheme="majorEastAsia"/>
          <w:szCs w:val="21"/>
        </w:rPr>
        <w:t>审</w:t>
      </w:r>
      <w:r>
        <w:rPr>
          <w:rFonts w:asciiTheme="majorEastAsia" w:hAnsiTheme="majorEastAsia" w:eastAsiaTheme="majorEastAsia"/>
          <w:szCs w:val="21"/>
        </w:rPr>
        <w:t>工作无法进行，或者招标文件内容违反国家有关强制性规定的，应当停止评</w:t>
      </w:r>
      <w:r>
        <w:rPr>
          <w:rFonts w:hint="eastAsia" w:asciiTheme="majorEastAsia" w:hAnsiTheme="majorEastAsia" w:eastAsiaTheme="majorEastAsia"/>
          <w:szCs w:val="21"/>
        </w:rPr>
        <w:t>审</w:t>
      </w:r>
      <w:r>
        <w:rPr>
          <w:rFonts w:asciiTheme="majorEastAsia" w:hAnsiTheme="majorEastAsia" w:eastAsiaTheme="majorEastAsia"/>
          <w:szCs w:val="21"/>
        </w:rPr>
        <w:t>工作，与</w:t>
      </w:r>
      <w:r>
        <w:rPr>
          <w:rFonts w:hint="eastAsia" w:asciiTheme="majorEastAsia" w:hAnsiTheme="majorEastAsia" w:eastAsiaTheme="majorEastAsia"/>
          <w:szCs w:val="21"/>
        </w:rPr>
        <w:t>采购代理机构</w:t>
      </w:r>
      <w:r>
        <w:rPr>
          <w:rFonts w:asciiTheme="majorEastAsia" w:hAnsiTheme="majorEastAsia" w:eastAsiaTheme="majorEastAsia"/>
          <w:szCs w:val="21"/>
        </w:rPr>
        <w:t>沟通并作书面记录。</w:t>
      </w:r>
      <w:r>
        <w:rPr>
          <w:rFonts w:hint="eastAsia" w:asciiTheme="majorEastAsia" w:hAnsiTheme="majorEastAsia" w:eastAsiaTheme="majorEastAsia"/>
          <w:szCs w:val="21"/>
        </w:rPr>
        <w:t>经</w:t>
      </w:r>
      <w:r>
        <w:rPr>
          <w:rFonts w:asciiTheme="majorEastAsia" w:hAnsiTheme="majorEastAsia" w:eastAsiaTheme="majorEastAsia"/>
          <w:szCs w:val="21"/>
        </w:rPr>
        <w:t>确认后，</w:t>
      </w:r>
      <w:r>
        <w:rPr>
          <w:rFonts w:hint="eastAsia" w:asciiTheme="majorEastAsia" w:hAnsiTheme="majorEastAsia" w:eastAsiaTheme="majorEastAsia"/>
          <w:szCs w:val="21"/>
        </w:rPr>
        <w:t>项目</w:t>
      </w:r>
      <w:r>
        <w:rPr>
          <w:rFonts w:asciiTheme="majorEastAsia" w:hAnsiTheme="majorEastAsia" w:eastAsiaTheme="majorEastAsia"/>
          <w:szCs w:val="21"/>
        </w:rPr>
        <w:t>应当修改招标文件，重新组织采购活动。</w:t>
      </w:r>
    </w:p>
    <w:p w14:paraId="211F5218">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33.3</w:t>
      </w:r>
      <w:r>
        <w:rPr>
          <w:rFonts w:hint="eastAsia" w:asciiTheme="majorEastAsia" w:hAnsiTheme="majorEastAsia" w:eastAsiaTheme="majorEastAsia"/>
          <w:szCs w:val="21"/>
        </w:rPr>
        <w:t>对于投标文件中含义不明确、同类问题表述不一致或者有明显文字和计算错误的内容，评审委员会应当以书面形式要求投标人作出必要的澄清、说明或者补正。</w:t>
      </w:r>
    </w:p>
    <w:p w14:paraId="61A52AF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851B2C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根据本通用条款第34条，凡属于评审委员会在评审中发现的算术错误进行核实的修改不在此列。</w:t>
      </w:r>
    </w:p>
    <w:p w14:paraId="037F7C21">
      <w:pPr>
        <w:spacing w:line="360" w:lineRule="auto"/>
        <w:rPr>
          <w:rFonts w:asciiTheme="majorEastAsia" w:hAnsiTheme="majorEastAsia" w:eastAsiaTheme="majorEastAsia"/>
          <w:b/>
          <w:bCs/>
          <w:szCs w:val="21"/>
        </w:rPr>
      </w:pPr>
      <w:bookmarkStart w:id="52" w:name="_Toc73521581"/>
      <w:bookmarkStart w:id="53" w:name="_Toc73517673"/>
      <w:bookmarkStart w:id="54" w:name="_Toc100052400"/>
      <w:bookmarkStart w:id="55" w:name="_Toc73518151"/>
      <w:bookmarkStart w:id="56" w:name="_Toc73521669"/>
      <w:r>
        <w:rPr>
          <w:rFonts w:hint="eastAsia" w:asciiTheme="majorEastAsia" w:hAnsiTheme="majorEastAsia" w:eastAsiaTheme="majorEastAsia"/>
          <w:b/>
          <w:bCs/>
          <w:szCs w:val="21"/>
        </w:rPr>
        <w:t>34．错误的修正</w:t>
      </w:r>
      <w:bookmarkEnd w:id="52"/>
      <w:bookmarkEnd w:id="53"/>
      <w:bookmarkEnd w:id="54"/>
      <w:bookmarkEnd w:id="55"/>
      <w:bookmarkEnd w:id="56"/>
    </w:p>
    <w:p w14:paraId="147D67A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投标文件报价出现前后不一致的，除专用条款另有规定外，按照下列规定修正：</w:t>
      </w:r>
    </w:p>
    <w:p w14:paraId="4686BDB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34.1投标文件中开标一览表投标报价内容与投标文件中投标报价相应内容不一致的，以开标一览表为准；</w:t>
      </w:r>
    </w:p>
    <w:p w14:paraId="7EE7DA9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34.2大写金额和小写金额不一致的，以大写金额为准；</w:t>
      </w:r>
    </w:p>
    <w:p w14:paraId="01E3357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34.3单价金额小数点或者百分比有明显错位，以开标一览表的总价为准，并修改单价；</w:t>
      </w:r>
    </w:p>
    <w:p w14:paraId="51E6502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34.4总价金额与按单价汇总金额不一致的，以单价金额计算结果为准。</w:t>
      </w:r>
    </w:p>
    <w:p w14:paraId="7024058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34.5同时出现两种以上不一致的，按照前款规定的顺序修正</w:t>
      </w:r>
      <w:r>
        <w:rPr>
          <w:rFonts w:hint="eastAsia" w:ascii="宋体" w:hAnsi="宋体"/>
          <w:snapToGrid w:val="0"/>
          <w:kern w:val="0"/>
        </w:rPr>
        <w:t>（次序排先者优先）</w:t>
      </w:r>
      <w:r>
        <w:rPr>
          <w:rFonts w:hint="eastAsia" w:asciiTheme="majorEastAsia" w:hAnsiTheme="majorEastAsia" w:eastAsiaTheme="majorEastAsia"/>
          <w:szCs w:val="21"/>
        </w:rPr>
        <w:t>。修正后的报价按照本通用条款33条的规定，经投标人确认后产生约束力，投标人不确认的，其投标无效。</w:t>
      </w:r>
    </w:p>
    <w:p w14:paraId="75244569">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35．投标文件的比较与评价</w:t>
      </w:r>
    </w:p>
    <w:p w14:paraId="1F5564D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77BA15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评审委员会成员对需要共同认定的事项存在争议的，应当按照少数服从多数的原则作出结论。持不同意见的评审委员会成员应当书面作出说明，否则视为无异议。</w:t>
      </w:r>
    </w:p>
    <w:p w14:paraId="3661F0D0">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36. 实地考察或资料查验</w:t>
      </w:r>
    </w:p>
    <w:p w14:paraId="2344C4E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36.1在评审过程中，评审委员会有权决定是否对本项目投标人进行实地考察或资料查验（原件）。投标人应随时做好接受实地考察或资料查验的准备。</w:t>
      </w:r>
    </w:p>
    <w:p w14:paraId="123701D2">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37．评审方法</w:t>
      </w:r>
    </w:p>
    <w:p w14:paraId="4C21C357">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37.1.1最低价法</w:t>
      </w:r>
    </w:p>
    <w:p w14:paraId="19B240B7">
      <w:pPr>
        <w:spacing w:line="360" w:lineRule="auto"/>
        <w:ind w:firstLine="411" w:firstLineChars="196"/>
        <w:rPr>
          <w:rFonts w:asciiTheme="majorEastAsia" w:hAnsiTheme="majorEastAsia" w:eastAsiaTheme="majorEastAsia"/>
          <w:szCs w:val="21"/>
        </w:rPr>
      </w:pPr>
      <w:bookmarkStart w:id="57" w:name="_Hlk72438142"/>
      <w:r>
        <w:rPr>
          <w:rFonts w:asciiTheme="majorEastAsia" w:hAnsiTheme="majorEastAsia" w:eastAsiaTheme="majorEastAsia"/>
          <w:szCs w:val="21"/>
        </w:rPr>
        <w:t>最低价法，是指</w:t>
      </w:r>
      <w:r>
        <w:rPr>
          <w:rFonts w:hint="eastAsia" w:asciiTheme="majorEastAsia" w:hAnsiTheme="majorEastAsia" w:eastAsiaTheme="majorEastAsia"/>
          <w:szCs w:val="21"/>
        </w:rPr>
        <w:t>完全</w:t>
      </w:r>
      <w:r>
        <w:rPr>
          <w:rFonts w:asciiTheme="majorEastAsia" w:hAnsiTheme="majorEastAsia" w:eastAsiaTheme="majorEastAsia"/>
          <w:szCs w:val="21"/>
        </w:rPr>
        <w:t>满足招标文件实质性要求，</w:t>
      </w:r>
      <w:r>
        <w:rPr>
          <w:rFonts w:hint="eastAsia" w:asciiTheme="majorEastAsia" w:hAnsiTheme="majorEastAsia" w:eastAsiaTheme="majorEastAsia"/>
          <w:szCs w:val="21"/>
        </w:rPr>
        <w:t>按照报价由低到高的顺序，依据招标文件中规定的数量或者比例推荐候选中标供应商。</w:t>
      </w:r>
    </w:p>
    <w:p w14:paraId="31D899FA">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37.1.2综合评分法</w:t>
      </w:r>
    </w:p>
    <w:p w14:paraId="3A368B02">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综合评分法，是指</w:t>
      </w:r>
      <w:r>
        <w:rPr>
          <w:rFonts w:hint="eastAsia" w:asciiTheme="majorEastAsia" w:hAnsiTheme="majorEastAsia" w:eastAsiaTheme="majorEastAsia"/>
          <w:szCs w:val="21"/>
        </w:rPr>
        <w:t>在</w:t>
      </w:r>
      <w:r>
        <w:rPr>
          <w:rFonts w:asciiTheme="majorEastAsia" w:hAnsiTheme="majorEastAsia" w:eastAsiaTheme="majorEastAsia"/>
          <w:szCs w:val="21"/>
        </w:rPr>
        <w:t>满足招标文件全部实质性要求</w:t>
      </w:r>
      <w:r>
        <w:rPr>
          <w:rFonts w:hint="eastAsia" w:asciiTheme="majorEastAsia" w:hAnsiTheme="majorEastAsia" w:eastAsiaTheme="majorEastAsia"/>
          <w:szCs w:val="21"/>
        </w:rPr>
        <w:t>的前提下</w:t>
      </w:r>
      <w:r>
        <w:rPr>
          <w:rFonts w:asciiTheme="majorEastAsia" w:hAnsiTheme="majorEastAsia" w:eastAsiaTheme="majorEastAsia"/>
          <w:szCs w:val="21"/>
        </w:rPr>
        <w:t>，</w:t>
      </w:r>
      <w:r>
        <w:rPr>
          <w:rFonts w:hint="eastAsia" w:asciiTheme="majorEastAsia" w:hAnsiTheme="majorEastAsia" w:eastAsiaTheme="majorEastAsia"/>
          <w:szCs w:val="21"/>
        </w:rPr>
        <w:t>按照招标文件中规定的各项因素进行综合评审，评审总得分排名前列的投标人，作为推荐的候选中标供应商。</w:t>
      </w:r>
      <w:bookmarkEnd w:id="57"/>
    </w:p>
    <w:p w14:paraId="6B25CD42">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37.2 本项目采用的评审方法见本项目招标文件第一册“专用条款”的相关内容。</w:t>
      </w:r>
    </w:p>
    <w:p w14:paraId="793C03EC">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37.3重新评审的情形</w:t>
      </w:r>
    </w:p>
    <w:p w14:paraId="26E8D8AE">
      <w:pPr>
        <w:spacing w:line="360" w:lineRule="auto"/>
        <w:ind w:firstLine="411" w:firstLineChars="196"/>
        <w:rPr>
          <w:rFonts w:asciiTheme="majorEastAsia" w:hAnsiTheme="majorEastAsia" w:eastAsiaTheme="majorEastAsia"/>
          <w:b/>
          <w:bCs/>
          <w:szCs w:val="21"/>
        </w:rPr>
      </w:pPr>
      <w:r>
        <w:rPr>
          <w:rFonts w:hint="eastAsia" w:cs="宋体" w:asciiTheme="majorEastAsia" w:hAnsiTheme="majorEastAsia" w:eastAsiaTheme="majorEastAsia"/>
          <w:szCs w:val="21"/>
        </w:rPr>
        <w:t>评审结果汇总完成后，除下列情形外，任何人不得修改评审结果：</w:t>
      </w:r>
    </w:p>
    <w:p w14:paraId="38B1EE83">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37.3.1分值汇总计算错误的；</w:t>
      </w:r>
    </w:p>
    <w:p w14:paraId="7B5A662F">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37.3.2分项评分超出评分标准范围的；</w:t>
      </w:r>
    </w:p>
    <w:p w14:paraId="6DB042A8">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37.3.3评审委员会成员对客观评审因素评分不一致的；</w:t>
      </w:r>
    </w:p>
    <w:p w14:paraId="78AD04B9">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37.3.4经评审委员会认定评分畸高、畸低的。</w:t>
      </w:r>
    </w:p>
    <w:p w14:paraId="6B8128FA">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4080A6A">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投标人对本条第一款情形提出质疑的，采购人或者采购代理机构可以组织原评审委员会进行重新评审，重新评审改变评审结果的，应当书面报告本级财政部门。</w:t>
      </w:r>
    </w:p>
    <w:p w14:paraId="0810CD9D">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 xml:space="preserve"> 37.4重新组建评审委员会的情形</w:t>
      </w:r>
    </w:p>
    <w:p w14:paraId="0B0AB2EF">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评审委员会或者其成员存在下列情形导致评审结果无效的，重新组建评审委员会进行评标，并书面报告本级财政部门：</w:t>
      </w:r>
    </w:p>
    <w:p w14:paraId="71E5198F">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37.4.1评审委员会组成不符合《政府采购货物和服务招标投标管理办法》规定的；</w:t>
      </w:r>
    </w:p>
    <w:p w14:paraId="2FC06A26">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37.4.2有《政府采购货物和服务招标投标管理办法》第六十二条第一至五项情形的；</w:t>
      </w:r>
    </w:p>
    <w:p w14:paraId="2E547931">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37.4.3评审委员会及其成员独立评标受到非法干预的；</w:t>
      </w:r>
    </w:p>
    <w:p w14:paraId="22C3D22F">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37.4.4有政府采购法实施条例第七十五条规定的违法行为的。</w:t>
      </w:r>
    </w:p>
    <w:p w14:paraId="03949EC6">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有违法违规行为的原评审委员会成员不得参加重新组建的评审委员会。</w:t>
      </w:r>
    </w:p>
    <w:p w14:paraId="454E87D3">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定标及公示</w:t>
      </w:r>
    </w:p>
    <w:p w14:paraId="0D62BD3D">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38．定标方法</w:t>
      </w:r>
    </w:p>
    <w:p w14:paraId="5B8BE8D2">
      <w:pPr>
        <w:spacing w:line="360" w:lineRule="auto"/>
        <w:ind w:firstLine="411" w:firstLineChars="196"/>
        <w:rPr>
          <w:rFonts w:asciiTheme="majorEastAsia" w:hAnsiTheme="majorEastAsia" w:eastAsiaTheme="majorEastAsia"/>
          <w:szCs w:val="21"/>
        </w:rPr>
      </w:pPr>
      <w:bookmarkStart w:id="58" w:name="_Hlk73782795"/>
      <w:r>
        <w:rPr>
          <w:rFonts w:hint="eastAsia" w:asciiTheme="majorEastAsia" w:hAnsiTheme="majorEastAsia" w:eastAsiaTheme="majorEastAsia"/>
          <w:szCs w:val="21"/>
        </w:rPr>
        <w:t>38.1非评定分离项目定标方法</w:t>
      </w:r>
    </w:p>
    <w:p w14:paraId="061ED38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w:t>
      </w:r>
      <w:r>
        <w:rPr>
          <w:rFonts w:asciiTheme="majorEastAsia" w:hAnsiTheme="majorEastAsia" w:eastAsiaTheme="majorEastAsia"/>
          <w:szCs w:val="21"/>
        </w:rPr>
        <w:t>.</w:t>
      </w:r>
      <w:r>
        <w:rPr>
          <w:rFonts w:hint="eastAsia" w:asciiTheme="majorEastAsia" w:hAnsiTheme="majorEastAsia" w:eastAsiaTheme="majorEastAsia"/>
          <w:szCs w:val="21"/>
        </w:rPr>
        <w:t>1.1评审委员会依据本项目招标文件所约定的评审方法进行评审和比较，向采购代理机构提交书面评审报告，并根据评审方法比较评价结果从优到劣进行排序，确定候选中标供应商。</w:t>
      </w:r>
    </w:p>
    <w:p w14:paraId="57D96AB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w:t>
      </w:r>
      <w:r>
        <w:rPr>
          <w:rFonts w:asciiTheme="majorEastAsia" w:hAnsiTheme="majorEastAsia" w:eastAsiaTheme="majorEastAsia"/>
          <w:szCs w:val="21"/>
        </w:rPr>
        <w:t>.</w:t>
      </w:r>
      <w:r>
        <w:rPr>
          <w:rFonts w:hint="eastAsia" w:asciiTheme="majorEastAsia" w:hAnsiTheme="majorEastAsia" w:eastAsiaTheme="majorEastAsia"/>
          <w:szCs w:val="21"/>
        </w:rPr>
        <w:t>1.2</w:t>
      </w:r>
      <w:r>
        <w:rPr>
          <w:rFonts w:asciiTheme="majorEastAsia" w:hAnsiTheme="majorEastAsia" w:eastAsiaTheme="majorEastAsia"/>
          <w:szCs w:val="21"/>
        </w:rPr>
        <w:t>采用最低价法的，评</w:t>
      </w:r>
      <w:r>
        <w:rPr>
          <w:rFonts w:hint="eastAsia" w:asciiTheme="majorEastAsia" w:hAnsiTheme="majorEastAsia" w:eastAsiaTheme="majorEastAsia"/>
          <w:szCs w:val="21"/>
        </w:rPr>
        <w:t>审</w:t>
      </w:r>
      <w:r>
        <w:rPr>
          <w:rFonts w:asciiTheme="majorEastAsia" w:hAnsiTheme="majorEastAsia" w:eastAsiaTheme="majorEastAsia"/>
          <w:szCs w:val="21"/>
        </w:rPr>
        <w:t>结果按投标报价由低到高顺序排列。投标报价相同的并列。投标文件满足招标文件全部实质性要求且投标报价最低的</w:t>
      </w:r>
      <w:r>
        <w:rPr>
          <w:rFonts w:hint="eastAsia" w:asciiTheme="majorEastAsia" w:hAnsiTheme="majorEastAsia" w:eastAsiaTheme="majorEastAsia"/>
          <w:szCs w:val="21"/>
        </w:rPr>
        <w:t>投标人为</w:t>
      </w:r>
      <w:bookmarkStart w:id="59" w:name="_Hlk73821177"/>
      <w:r>
        <w:rPr>
          <w:rFonts w:hint="eastAsia" w:asciiTheme="majorEastAsia" w:hAnsiTheme="majorEastAsia" w:eastAsiaTheme="majorEastAsia"/>
          <w:szCs w:val="21"/>
        </w:rPr>
        <w:t>中标供应商</w:t>
      </w:r>
      <w:r>
        <w:rPr>
          <w:rFonts w:asciiTheme="majorEastAsia" w:hAnsiTheme="majorEastAsia" w:eastAsiaTheme="majorEastAsia"/>
          <w:szCs w:val="21"/>
        </w:rPr>
        <w:t>（</w:t>
      </w:r>
      <w:r>
        <w:rPr>
          <w:rFonts w:hint="eastAsia" w:asciiTheme="majorEastAsia" w:hAnsiTheme="majorEastAsia" w:eastAsiaTheme="majorEastAsia"/>
          <w:szCs w:val="21"/>
        </w:rPr>
        <w:t>排名</w:t>
      </w:r>
      <w:r>
        <w:rPr>
          <w:rFonts w:asciiTheme="majorEastAsia" w:hAnsiTheme="majorEastAsia" w:eastAsiaTheme="majorEastAsia"/>
          <w:szCs w:val="21"/>
        </w:rPr>
        <w:t>第二</w:t>
      </w:r>
      <w:r>
        <w:rPr>
          <w:rFonts w:hint="eastAsia" w:asciiTheme="majorEastAsia" w:hAnsiTheme="majorEastAsia" w:eastAsiaTheme="majorEastAsia"/>
          <w:szCs w:val="21"/>
        </w:rPr>
        <w:t>的投标人为第一替补中标候选人、排名</w:t>
      </w:r>
      <w:r>
        <w:rPr>
          <w:rFonts w:asciiTheme="majorEastAsia" w:hAnsiTheme="majorEastAsia" w:eastAsiaTheme="majorEastAsia"/>
          <w:szCs w:val="21"/>
        </w:rPr>
        <w:t>第</w:t>
      </w:r>
      <w:r>
        <w:rPr>
          <w:rFonts w:hint="eastAsia" w:asciiTheme="majorEastAsia" w:hAnsiTheme="majorEastAsia" w:eastAsiaTheme="majorEastAsia"/>
          <w:szCs w:val="21"/>
        </w:rPr>
        <w:t>三的投标人为第二替补中标候选人</w:t>
      </w:r>
      <w:bookmarkEnd w:id="59"/>
      <w:r>
        <w:rPr>
          <w:rFonts w:asciiTheme="majorEastAsia" w:hAnsiTheme="majorEastAsia" w:eastAsiaTheme="majorEastAsia"/>
          <w:szCs w:val="21"/>
        </w:rPr>
        <w:t>）。</w:t>
      </w:r>
    </w:p>
    <w:p w14:paraId="4FB3C95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w:t>
      </w:r>
      <w:r>
        <w:rPr>
          <w:rFonts w:asciiTheme="majorEastAsia" w:hAnsiTheme="majorEastAsia" w:eastAsiaTheme="majorEastAsia"/>
          <w:szCs w:val="21"/>
        </w:rPr>
        <w:t>.</w:t>
      </w:r>
      <w:r>
        <w:rPr>
          <w:rFonts w:hint="eastAsia" w:asciiTheme="majorEastAsia" w:hAnsiTheme="majorEastAsia" w:eastAsiaTheme="majorEastAsia"/>
          <w:szCs w:val="21"/>
        </w:rPr>
        <w:t>1.3</w:t>
      </w:r>
      <w:r>
        <w:rPr>
          <w:rFonts w:asciiTheme="majorEastAsia" w:hAnsiTheme="majorEastAsia" w:eastAsiaTheme="majorEastAsia"/>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Theme="majorEastAsia" w:hAnsiTheme="majorEastAsia" w:eastAsiaTheme="majorEastAsia"/>
          <w:szCs w:val="21"/>
        </w:rPr>
        <w:t>为中标供应商</w:t>
      </w:r>
      <w:r>
        <w:rPr>
          <w:rFonts w:asciiTheme="majorEastAsia" w:hAnsiTheme="majorEastAsia" w:eastAsiaTheme="majorEastAsia"/>
          <w:szCs w:val="21"/>
        </w:rPr>
        <w:t>（</w:t>
      </w:r>
      <w:r>
        <w:rPr>
          <w:rFonts w:hint="eastAsia" w:asciiTheme="majorEastAsia" w:hAnsiTheme="majorEastAsia" w:eastAsiaTheme="majorEastAsia"/>
          <w:szCs w:val="21"/>
        </w:rPr>
        <w:t>中标候选人如不止一名，则推选排名</w:t>
      </w:r>
      <w:r>
        <w:rPr>
          <w:rFonts w:asciiTheme="majorEastAsia" w:hAnsiTheme="majorEastAsia" w:eastAsiaTheme="majorEastAsia"/>
          <w:szCs w:val="21"/>
        </w:rPr>
        <w:t>第二</w:t>
      </w:r>
      <w:r>
        <w:rPr>
          <w:rFonts w:hint="eastAsia" w:asciiTheme="majorEastAsia" w:hAnsiTheme="majorEastAsia" w:eastAsiaTheme="majorEastAsia"/>
          <w:szCs w:val="21"/>
        </w:rPr>
        <w:t>的投标人为第一替补中标候选人、排名</w:t>
      </w:r>
      <w:r>
        <w:rPr>
          <w:rFonts w:asciiTheme="majorEastAsia" w:hAnsiTheme="majorEastAsia" w:eastAsiaTheme="majorEastAsia"/>
          <w:szCs w:val="21"/>
        </w:rPr>
        <w:t>第</w:t>
      </w:r>
      <w:r>
        <w:rPr>
          <w:rFonts w:hint="eastAsia" w:asciiTheme="majorEastAsia" w:hAnsiTheme="majorEastAsia" w:eastAsiaTheme="majorEastAsia"/>
          <w:szCs w:val="21"/>
        </w:rPr>
        <w:t>三的投标人为第二替补中标候选人</w:t>
      </w:r>
      <w:r>
        <w:rPr>
          <w:rFonts w:asciiTheme="majorEastAsia" w:hAnsiTheme="majorEastAsia" w:eastAsiaTheme="majorEastAsia"/>
          <w:szCs w:val="21"/>
        </w:rPr>
        <w:t>）。</w:t>
      </w:r>
      <w:r>
        <w:rPr>
          <w:rFonts w:hint="eastAsia" w:asciiTheme="majorEastAsia" w:hAnsiTheme="majorEastAsia" w:eastAsiaTheme="majorEastAsia"/>
          <w:szCs w:val="21"/>
        </w:rPr>
        <w:t>出现</w:t>
      </w:r>
      <w:r>
        <w:rPr>
          <w:rFonts w:asciiTheme="majorEastAsia" w:hAnsiTheme="majorEastAsia" w:eastAsiaTheme="majorEastAsia"/>
          <w:szCs w:val="21"/>
        </w:rPr>
        <w:t>得分且投标报价相同的并列</w:t>
      </w:r>
      <w:r>
        <w:rPr>
          <w:rFonts w:hint="eastAsia" w:asciiTheme="majorEastAsia" w:hAnsiTheme="majorEastAsia" w:eastAsiaTheme="majorEastAsia"/>
          <w:szCs w:val="21"/>
        </w:rPr>
        <w:t>情况时，采取随机抽取的方式确定，具体操作办法及流程由评审委员会确定（因落实政府采购政策进行价格调整的，以调整后的价格计算投标报价）。</w:t>
      </w:r>
    </w:p>
    <w:p w14:paraId="200E28D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38.2评定分离项目定标方法</w:t>
      </w:r>
    </w:p>
    <w:p w14:paraId="012BB62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5BB654A">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 xml:space="preserve">38.2.2 </w:t>
      </w:r>
      <w:bookmarkStart w:id="60" w:name="_Hlk71469733"/>
      <w:r>
        <w:rPr>
          <w:rFonts w:asciiTheme="majorEastAsia" w:hAnsiTheme="majorEastAsia" w:eastAsiaTheme="majorEastAsia"/>
          <w:szCs w:val="21"/>
        </w:rPr>
        <w:t>适用评定分离的政府采购项目，采用综合评分法评</w:t>
      </w:r>
      <w:r>
        <w:rPr>
          <w:rFonts w:hint="eastAsia" w:asciiTheme="majorEastAsia" w:hAnsiTheme="majorEastAsia" w:eastAsiaTheme="majorEastAsia"/>
          <w:szCs w:val="21"/>
        </w:rPr>
        <w:t>审。评审委员会按照评审结果，推荐</w:t>
      </w:r>
      <w:r>
        <w:rPr>
          <w:rFonts w:asciiTheme="majorEastAsia" w:hAnsiTheme="majorEastAsia" w:eastAsiaTheme="majorEastAsia"/>
          <w:szCs w:val="21"/>
        </w:rPr>
        <w:t>三个合格的候选中标供应商。</w:t>
      </w:r>
    </w:p>
    <w:p w14:paraId="46385AB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38.2.3</w:t>
      </w:r>
      <w:bookmarkStart w:id="61" w:name="_Hlk71469688"/>
      <w:r>
        <w:rPr>
          <w:rFonts w:asciiTheme="majorEastAsia" w:hAnsiTheme="majorEastAsia" w:eastAsiaTheme="majorEastAsia"/>
          <w:szCs w:val="21"/>
        </w:rPr>
        <w:t>适用评定分离的政府采购项目，</w:t>
      </w:r>
      <w:r>
        <w:rPr>
          <w:rFonts w:hint="eastAsia" w:asciiTheme="majorEastAsia" w:hAnsiTheme="majorEastAsia" w:eastAsiaTheme="majorEastAsia"/>
          <w:szCs w:val="21"/>
        </w:rPr>
        <w:t>按照自定法确定中标供应商：自定法是指采购人组织定标委员会，由定标委员会在三家候选中标供应商中确定中标供应商。</w:t>
      </w:r>
      <w:bookmarkEnd w:id="60"/>
      <w:bookmarkEnd w:id="61"/>
    </w:p>
    <w:p w14:paraId="58CD53A4">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38.2.4</w:t>
      </w:r>
      <w:r>
        <w:rPr>
          <w:rFonts w:hint="eastAsia" w:asciiTheme="majorEastAsia" w:hAnsiTheme="majorEastAsia" w:eastAsiaTheme="majorEastAsia"/>
          <w:szCs w:val="21"/>
        </w:rPr>
        <w:t>采购代理机构</w:t>
      </w:r>
      <w:r>
        <w:rPr>
          <w:rFonts w:asciiTheme="majorEastAsia" w:hAnsiTheme="majorEastAsia" w:eastAsiaTheme="majorEastAsia"/>
          <w:szCs w:val="21"/>
        </w:rPr>
        <w:t>应当自评审结束之日起两个工作日内将候选中标供应商名单及其投标文件、评审报告送交采购人</w:t>
      </w:r>
      <w:r>
        <w:rPr>
          <w:rFonts w:hint="eastAsia" w:asciiTheme="majorEastAsia" w:hAnsiTheme="majorEastAsia" w:eastAsiaTheme="majorEastAsia"/>
          <w:szCs w:val="21"/>
        </w:rPr>
        <w:t>。</w:t>
      </w:r>
      <w:r>
        <w:rPr>
          <w:rFonts w:asciiTheme="majorEastAsia" w:hAnsiTheme="majorEastAsia" w:eastAsiaTheme="majorEastAsia"/>
          <w:szCs w:val="21"/>
        </w:rPr>
        <w:t>采购人应当安排专人对定标过程进行书面记录，形成定标报告，作为采购文件的组成部分存档，并及时将定标结果反馈</w:t>
      </w:r>
      <w:r>
        <w:rPr>
          <w:rFonts w:hint="eastAsia" w:asciiTheme="majorEastAsia" w:hAnsiTheme="majorEastAsia" w:eastAsiaTheme="majorEastAsia"/>
          <w:szCs w:val="21"/>
        </w:rPr>
        <w:t>采购代理机构。具体定标程序及相关要求以按照《</w:t>
      </w:r>
      <w:r>
        <w:rPr>
          <w:rFonts w:asciiTheme="majorEastAsia" w:hAnsiTheme="majorEastAsia" w:eastAsiaTheme="majorEastAsia"/>
          <w:szCs w:val="21"/>
        </w:rPr>
        <w:t>深圳市财政局关于印发</w:t>
      </w:r>
      <w:r>
        <w:rPr>
          <w:rFonts w:hint="eastAsia" w:asciiTheme="majorEastAsia" w:hAnsiTheme="majorEastAsia" w:eastAsiaTheme="majorEastAsia"/>
          <w:szCs w:val="21"/>
        </w:rPr>
        <w:t>〈</w:t>
      </w:r>
      <w:r>
        <w:rPr>
          <w:rFonts w:asciiTheme="majorEastAsia" w:hAnsiTheme="majorEastAsia" w:eastAsiaTheme="majorEastAsia"/>
          <w:szCs w:val="21"/>
        </w:rPr>
        <w:t>深圳市政府采购评标定标分离管理办法</w:t>
      </w:r>
      <w:r>
        <w:rPr>
          <w:rFonts w:hint="eastAsia" w:asciiTheme="majorEastAsia" w:hAnsiTheme="majorEastAsia" w:eastAsiaTheme="majorEastAsia"/>
          <w:szCs w:val="21"/>
        </w:rPr>
        <w:t>〉</w:t>
      </w:r>
      <w:r>
        <w:rPr>
          <w:rFonts w:asciiTheme="majorEastAsia" w:hAnsiTheme="majorEastAsia" w:eastAsiaTheme="majorEastAsia"/>
          <w:szCs w:val="21"/>
        </w:rPr>
        <w:t>的通知</w:t>
      </w:r>
      <w:r>
        <w:rPr>
          <w:rFonts w:hint="eastAsia" w:asciiTheme="majorEastAsia" w:hAnsiTheme="majorEastAsia" w:eastAsiaTheme="majorEastAsia"/>
          <w:szCs w:val="21"/>
        </w:rPr>
        <w:t>》（深财规【2</w:t>
      </w:r>
      <w:r>
        <w:rPr>
          <w:rFonts w:asciiTheme="majorEastAsia" w:hAnsiTheme="majorEastAsia" w:eastAsiaTheme="majorEastAsia"/>
          <w:szCs w:val="21"/>
        </w:rPr>
        <w:t>020</w:t>
      </w:r>
      <w:r>
        <w:rPr>
          <w:rFonts w:hint="eastAsia" w:asciiTheme="majorEastAsia" w:hAnsiTheme="majorEastAsia" w:eastAsiaTheme="majorEastAsia"/>
          <w:szCs w:val="21"/>
        </w:rPr>
        <w:t>】1号）执行。</w:t>
      </w:r>
    </w:p>
    <w:p w14:paraId="7A1CF98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说明：采购人及投标供应商应按照上述方法提前做好相关准备。</w:t>
      </w:r>
    </w:p>
    <w:p w14:paraId="07959F0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38.3专用条款另有规定的，按专用条款相关要求定标。</w:t>
      </w:r>
      <w:bookmarkEnd w:id="58"/>
    </w:p>
    <w:p w14:paraId="578C728D">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39．编写评审报告</w:t>
      </w:r>
    </w:p>
    <w:p w14:paraId="5C227F3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99AF51C">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40．中标公告</w:t>
      </w:r>
    </w:p>
    <w:p w14:paraId="2FF97D7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40.1</w:t>
      </w:r>
      <w:bookmarkStart w:id="62" w:name="_Hlk72438709"/>
      <w:r>
        <w:rPr>
          <w:rFonts w:hint="eastAsia" w:asciiTheme="majorEastAsia" w:hAnsiTheme="majorEastAsia" w:eastAsiaTheme="majorEastAsia"/>
          <w:szCs w:val="21"/>
        </w:rPr>
        <w:t>为体现“公开、公平、公正”的原则，评审结束后经采购人确认（确定）评审结果，采购代理机构将在“深圳政府采购智慧平台（http://zfcg.szggzy.com/）”上发布中标结果公告。</w:t>
      </w:r>
      <w:bookmarkEnd w:id="62"/>
      <w:bookmarkStart w:id="63" w:name="_Hlk72438751"/>
      <w:r>
        <w:rPr>
          <w:rFonts w:hint="eastAsia" w:asciiTheme="majorEastAsia" w:hAnsiTheme="majorEastAsia" w:eastAsiaTheme="majorEastAsia"/>
          <w:szCs w:val="21"/>
        </w:rPr>
        <w:t>供应商如对评审结果有异议，</w:t>
      </w:r>
      <w:r>
        <w:rPr>
          <w:rFonts w:asciiTheme="majorEastAsia" w:hAnsiTheme="majorEastAsia" w:eastAsiaTheme="majorEastAsia"/>
          <w:szCs w:val="21"/>
        </w:rPr>
        <w:t>可在发布公示日期起</w:t>
      </w:r>
      <w:r>
        <w:rPr>
          <w:rFonts w:hint="eastAsia" w:asciiTheme="majorEastAsia" w:hAnsiTheme="majorEastAsia" w:eastAsiaTheme="majorEastAsia"/>
          <w:szCs w:val="21"/>
        </w:rPr>
        <w:t>七</w:t>
      </w:r>
      <w:r>
        <w:rPr>
          <w:rFonts w:asciiTheme="majorEastAsia" w:hAnsiTheme="majorEastAsia" w:eastAsiaTheme="majorEastAsia"/>
          <w:szCs w:val="21"/>
        </w:rPr>
        <w:t>个工作日内向</w:t>
      </w:r>
      <w:r>
        <w:rPr>
          <w:rFonts w:hint="eastAsia" w:asciiTheme="majorEastAsia" w:hAnsiTheme="majorEastAsia" w:eastAsiaTheme="majorEastAsia"/>
          <w:szCs w:val="21"/>
        </w:rPr>
        <w:t>采购代理机构</w:t>
      </w:r>
      <w:r>
        <w:rPr>
          <w:rFonts w:asciiTheme="majorEastAsia" w:hAnsiTheme="majorEastAsia" w:eastAsiaTheme="majorEastAsia"/>
          <w:szCs w:val="21"/>
        </w:rPr>
        <w:t>提出。 监督电话：0755-83948143。</w:t>
      </w:r>
      <w:r>
        <w:rPr>
          <w:rFonts w:hint="eastAsia" w:asciiTheme="majorEastAsia" w:hAnsiTheme="majorEastAsia" w:eastAsiaTheme="majorEastAsia"/>
          <w:szCs w:val="21"/>
        </w:rPr>
        <w:t>若在公示期内未提出质疑，则视为认同该评审结果。</w:t>
      </w:r>
    </w:p>
    <w:bookmarkEnd w:id="63"/>
    <w:p w14:paraId="6037794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40.2质疑、投诉供应商应保证质疑、投诉内容的真实性和可靠性，并承担相应的法律责任。</w:t>
      </w:r>
    </w:p>
    <w:p w14:paraId="2E85B228">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41．中标通知书</w:t>
      </w:r>
    </w:p>
    <w:p w14:paraId="71CF2DA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41</w:t>
      </w:r>
      <w:r>
        <w:rPr>
          <w:rFonts w:asciiTheme="majorEastAsia" w:hAnsiTheme="majorEastAsia" w:eastAsiaTheme="majorEastAsia"/>
          <w:szCs w:val="21"/>
        </w:rPr>
        <w:t>.</w:t>
      </w:r>
      <w:r>
        <w:rPr>
          <w:rFonts w:hint="eastAsia" w:asciiTheme="majorEastAsia" w:hAnsiTheme="majorEastAsia" w:eastAsiaTheme="majorEastAsia"/>
          <w:szCs w:val="21"/>
        </w:rPr>
        <w:t>1</w:t>
      </w:r>
      <w:bookmarkStart w:id="64" w:name="_Hlk72438863"/>
      <w:r>
        <w:rPr>
          <w:rFonts w:hint="eastAsia" w:asciiTheme="majorEastAsia" w:hAnsiTheme="majorEastAsia" w:eastAsiaTheme="majorEastAsia"/>
          <w:szCs w:val="21"/>
        </w:rPr>
        <w:t>中标公告公布以后无异常的情况下,采购代理机构将向中标供应商和采购人发出中标通知书。</w:t>
      </w:r>
      <w:bookmarkEnd w:id="64"/>
    </w:p>
    <w:p w14:paraId="40CBE6A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41</w:t>
      </w:r>
      <w:r>
        <w:rPr>
          <w:rFonts w:asciiTheme="majorEastAsia" w:hAnsiTheme="majorEastAsia" w:eastAsiaTheme="majorEastAsia"/>
          <w:szCs w:val="21"/>
        </w:rPr>
        <w:t>.2</w:t>
      </w:r>
      <w:r>
        <w:rPr>
          <w:rFonts w:hint="eastAsia" w:asciiTheme="majorEastAsia" w:hAnsiTheme="majorEastAsia" w:eastAsiaTheme="majorEastAsia"/>
          <w:szCs w:val="21"/>
        </w:rPr>
        <w:t>中标通知书是合同的重要组成部分。</w:t>
      </w:r>
    </w:p>
    <w:p w14:paraId="4273479C">
      <w:pPr>
        <w:spacing w:line="360" w:lineRule="auto"/>
        <w:ind w:firstLine="411" w:firstLineChars="196"/>
        <w:rPr>
          <w:rFonts w:asciiTheme="majorEastAsia" w:hAnsiTheme="majorEastAsia" w:eastAsiaTheme="majorEastAsia"/>
          <w:szCs w:val="21"/>
        </w:rPr>
      </w:pPr>
      <w:bookmarkStart w:id="65" w:name="_Hlk71407340"/>
      <w:r>
        <w:rPr>
          <w:rFonts w:hint="eastAsia" w:asciiTheme="majorEastAsia" w:hAnsiTheme="majorEastAsia" w:eastAsiaTheme="majorEastAsia"/>
          <w:szCs w:val="21"/>
        </w:rPr>
        <w:t>41.3因质疑投诉或其它原因导致项目结果变更或采购终止的，采购代理机构有权吊销中标通知书。</w:t>
      </w:r>
    </w:p>
    <w:p w14:paraId="44EABEB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41.4代理服务费</w:t>
      </w:r>
    </w:p>
    <w:p w14:paraId="6CF6951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中标人须在中标公告公示期结束后，向采购代理机构缴纳代理服务费。代理服务费收费标准根据《深圳市财政委员会关于规范深圳市社会采购代理机构的管理有关事项的补充通知（深财购[2018]27号）》文件相关规定，按照差额定率累进法计算。具体收费标准详见下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027"/>
        <w:gridCol w:w="2158"/>
        <w:gridCol w:w="2158"/>
      </w:tblGrid>
      <w:tr w14:paraId="4660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802" w:type="dxa"/>
          </w:tcPr>
          <w:p w14:paraId="08538546">
            <w:pPr>
              <w:spacing w:line="360" w:lineRule="auto"/>
              <w:ind w:firstLine="1629" w:firstLineChars="776"/>
              <w:rPr>
                <w:rFonts w:asciiTheme="majorEastAsia" w:hAnsiTheme="majorEastAsia" w:eastAsiaTheme="majorEastAsia"/>
                <w:b/>
                <w:szCs w:val="21"/>
              </w:rPr>
            </w:pPr>
            <w:r>
              <w:rPr>
                <w:rFonts w:asciiTheme="majorEastAsia" w:hAnsiTheme="majorEastAsia" w:eastAsiaTheme="majorEastAsia"/>
                <w:szCs w:val="21"/>
              </w:rPr>
              <w:pict>
                <v:line id="_x0000_s2052" o:spid="_x0000_s2052" o:spt="20" style="position:absolute;left:0pt;flip:x y;margin-left:-1.5pt;margin-top:34.35pt;height:31.05pt;width:136.5pt;z-index:251661312;mso-width-relative:page;mso-height-relative:page;" coordsize="21600,21600" o:allowincell="f" o:gfxdata="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lQLG1AAAAAkBAAAPAAAAAAAAAAEAIAAAACIAAABkcnMvZG93&#10;bnJldi54bWxQSwECFAAUAAAACACHTuJA5DiR7gQCAAD/AwAADgAAAAAAAAABACAAAAAjAQAAZHJz&#10;L2Uyb0RvYy54bWxQSwUGAAAAAAYABgBZAQAAmQUAAAAA&#10;">
                  <v:path arrowok="t"/>
                  <v:fill focussize="0,0"/>
                  <v:stroke/>
                  <v:imagedata o:title=""/>
                  <o:lock v:ext="edit"/>
                </v:line>
              </w:pict>
            </w:r>
            <w:r>
              <w:rPr>
                <w:rFonts w:asciiTheme="majorEastAsia" w:hAnsiTheme="majorEastAsia" w:eastAsiaTheme="majorEastAsia"/>
                <w:szCs w:val="21"/>
              </w:rPr>
              <w:pict>
                <v:line id="_x0000_s2051" o:spid="_x0000_s2051" o:spt="20" style="position:absolute;left:0pt;flip:x y;margin-left:30.9pt;margin-top:2.5pt;height:62.9pt;width:104.1pt;z-index:251660288;mso-width-relative:page;mso-height-relative:page;" coordsize="21600,21600" o:allowincell="f" o:gfxdata="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tdP1dMAAAAIAQAADwAAAAAAAAABACAAAAAiAAAAZHJzL2Rvd25yZXYu&#10;eG1sUEsBAhQAFAAAAAgAh07iQPjl/UYAAgAA/wMAAA4AAAAAAAAAAQAgAAAAIgEAAGRycy9lMm9E&#10;b2MueG1sUEsFBgAAAAAGAAYAWQEAAJQFAAAAAA==&#10;">
                  <v:path arrowok="t"/>
                  <v:fill focussize="0,0"/>
                  <v:stroke/>
                  <v:imagedata o:title=""/>
                  <o:lock v:ext="edit"/>
                </v:line>
              </w:pict>
            </w:r>
            <w:r>
              <w:rPr>
                <w:rFonts w:asciiTheme="majorEastAsia" w:hAnsiTheme="majorEastAsia" w:eastAsiaTheme="majorEastAsia"/>
                <w:szCs w:val="21"/>
              </w:rPr>
              <w:pict>
                <v:line id="_x0000_s2050" o:spid="_x0000_s2050" o:spt="20" style="position:absolute;left:0pt;margin-left:-9pt;margin-top:-0.5pt;height:0pt;width:0.05pt;z-index:251662336;mso-width-relative:page;mso-height-relative:page;"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uR037V&#10;AAAACQEAAA8AAAAAAAAAAQAgAAAAIgAAAGRycy9kb3ducmV2LnhtbFBLAQIUABQAAAAIAIdO4kCU&#10;Y33D6gEAAOADAAAOAAAAAAAAAAEAIAAAACQBAABkcnMvZTJvRG9jLnhtbFBLBQYAAAAABgAGAFkB&#10;AACABQAAAAA=&#10;">
                  <v:path arrowok="t"/>
                  <v:fill focussize="0,0"/>
                  <v:stroke/>
                  <v:imagedata o:title=""/>
                  <o:lock v:ext="edit"/>
                </v:line>
              </w:pict>
            </w:r>
            <w:r>
              <w:rPr>
                <w:rFonts w:hint="eastAsia" w:asciiTheme="majorEastAsia" w:hAnsiTheme="majorEastAsia" w:eastAsiaTheme="majorEastAsia"/>
                <w:b/>
                <w:szCs w:val="21"/>
              </w:rPr>
              <w:t>服务类型</w:t>
            </w:r>
          </w:p>
          <w:p w14:paraId="0A9B9151">
            <w:pPr>
              <w:spacing w:line="360" w:lineRule="auto"/>
              <w:ind w:firstLine="637" w:firstLineChars="302"/>
              <w:rPr>
                <w:rFonts w:asciiTheme="majorEastAsia" w:hAnsiTheme="majorEastAsia" w:eastAsiaTheme="majorEastAsia"/>
                <w:b/>
                <w:szCs w:val="21"/>
              </w:rPr>
            </w:pPr>
            <w:r>
              <w:rPr>
                <w:rFonts w:hint="eastAsia" w:asciiTheme="majorEastAsia" w:hAnsiTheme="majorEastAsia" w:eastAsiaTheme="majorEastAsia"/>
                <w:b/>
                <w:szCs w:val="21"/>
              </w:rPr>
              <w:t>费率　　　　　</w:t>
            </w:r>
          </w:p>
          <w:p w14:paraId="680DD8E7">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中标金额（万元）</w:t>
            </w:r>
          </w:p>
        </w:tc>
        <w:tc>
          <w:tcPr>
            <w:tcW w:w="2027" w:type="dxa"/>
            <w:vAlign w:val="center"/>
          </w:tcPr>
          <w:p w14:paraId="29CD1A3B">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货物招标</w:t>
            </w:r>
          </w:p>
        </w:tc>
        <w:tc>
          <w:tcPr>
            <w:tcW w:w="2158" w:type="dxa"/>
            <w:vAlign w:val="center"/>
          </w:tcPr>
          <w:p w14:paraId="2E1BF4D3">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服务招标</w:t>
            </w:r>
          </w:p>
        </w:tc>
        <w:tc>
          <w:tcPr>
            <w:tcW w:w="2158" w:type="dxa"/>
            <w:vAlign w:val="center"/>
          </w:tcPr>
          <w:p w14:paraId="18A9A2D6">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工程招标</w:t>
            </w:r>
          </w:p>
        </w:tc>
      </w:tr>
      <w:tr w14:paraId="78BC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7F6DEA76">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100</w:t>
            </w:r>
            <w:r>
              <w:rPr>
                <w:rFonts w:hint="eastAsia" w:asciiTheme="majorEastAsia" w:hAnsiTheme="majorEastAsia" w:eastAsiaTheme="majorEastAsia"/>
                <w:szCs w:val="21"/>
              </w:rPr>
              <w:t>以下</w:t>
            </w:r>
          </w:p>
        </w:tc>
        <w:tc>
          <w:tcPr>
            <w:tcW w:w="2027" w:type="dxa"/>
            <w:vAlign w:val="center"/>
          </w:tcPr>
          <w:p w14:paraId="52BC5359">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1.500%</w:t>
            </w:r>
          </w:p>
        </w:tc>
        <w:tc>
          <w:tcPr>
            <w:tcW w:w="2158" w:type="dxa"/>
            <w:vAlign w:val="center"/>
          </w:tcPr>
          <w:p w14:paraId="431F169A">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1.500%</w:t>
            </w:r>
          </w:p>
        </w:tc>
        <w:tc>
          <w:tcPr>
            <w:tcW w:w="2158" w:type="dxa"/>
            <w:vAlign w:val="center"/>
          </w:tcPr>
          <w:p w14:paraId="0FD7DD21">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1.000%</w:t>
            </w:r>
          </w:p>
        </w:tc>
      </w:tr>
      <w:tr w14:paraId="6E93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7C492C18">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100</w:t>
            </w:r>
            <w:r>
              <w:rPr>
                <w:rFonts w:hint="eastAsia" w:asciiTheme="majorEastAsia" w:hAnsiTheme="majorEastAsia" w:eastAsiaTheme="majorEastAsia"/>
                <w:szCs w:val="21"/>
              </w:rPr>
              <w:t>～</w:t>
            </w:r>
            <w:r>
              <w:rPr>
                <w:rFonts w:asciiTheme="majorEastAsia" w:hAnsiTheme="majorEastAsia" w:eastAsiaTheme="majorEastAsia"/>
                <w:szCs w:val="21"/>
              </w:rPr>
              <w:t>500</w:t>
            </w:r>
          </w:p>
        </w:tc>
        <w:tc>
          <w:tcPr>
            <w:tcW w:w="2027" w:type="dxa"/>
            <w:vAlign w:val="center"/>
          </w:tcPr>
          <w:p w14:paraId="666B6C31">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1.100%</w:t>
            </w:r>
          </w:p>
        </w:tc>
        <w:tc>
          <w:tcPr>
            <w:tcW w:w="2158" w:type="dxa"/>
            <w:vAlign w:val="center"/>
          </w:tcPr>
          <w:p w14:paraId="01CAF80B">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0.800%</w:t>
            </w:r>
          </w:p>
        </w:tc>
        <w:tc>
          <w:tcPr>
            <w:tcW w:w="2158" w:type="dxa"/>
            <w:vAlign w:val="center"/>
          </w:tcPr>
          <w:p w14:paraId="1724444E">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0.700%</w:t>
            </w:r>
          </w:p>
        </w:tc>
      </w:tr>
      <w:tr w14:paraId="37FE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7B895561">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500</w:t>
            </w:r>
            <w:r>
              <w:rPr>
                <w:rFonts w:hint="eastAsia" w:asciiTheme="majorEastAsia" w:hAnsiTheme="majorEastAsia" w:eastAsiaTheme="majorEastAsia"/>
                <w:szCs w:val="21"/>
              </w:rPr>
              <w:t>～</w:t>
            </w:r>
            <w:r>
              <w:rPr>
                <w:rFonts w:asciiTheme="majorEastAsia" w:hAnsiTheme="majorEastAsia" w:eastAsiaTheme="majorEastAsia"/>
                <w:szCs w:val="21"/>
              </w:rPr>
              <w:t>1</w:t>
            </w:r>
            <w:r>
              <w:rPr>
                <w:rFonts w:hint="eastAsia" w:asciiTheme="majorEastAsia" w:hAnsiTheme="majorEastAsia" w:eastAsiaTheme="majorEastAsia"/>
                <w:szCs w:val="21"/>
              </w:rPr>
              <w:t>000</w:t>
            </w:r>
          </w:p>
        </w:tc>
        <w:tc>
          <w:tcPr>
            <w:tcW w:w="2027" w:type="dxa"/>
            <w:vAlign w:val="center"/>
          </w:tcPr>
          <w:p w14:paraId="66E4AE74">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0.800%</w:t>
            </w:r>
          </w:p>
        </w:tc>
        <w:tc>
          <w:tcPr>
            <w:tcW w:w="2158" w:type="dxa"/>
            <w:vAlign w:val="center"/>
          </w:tcPr>
          <w:p w14:paraId="15B23B9C">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0.450%</w:t>
            </w:r>
          </w:p>
        </w:tc>
        <w:tc>
          <w:tcPr>
            <w:tcW w:w="2158" w:type="dxa"/>
            <w:vAlign w:val="center"/>
          </w:tcPr>
          <w:p w14:paraId="076FCE90">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0.550%</w:t>
            </w:r>
          </w:p>
        </w:tc>
      </w:tr>
      <w:tr w14:paraId="5482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36C7BCD3">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000～</w:t>
            </w:r>
            <w:r>
              <w:rPr>
                <w:rFonts w:asciiTheme="majorEastAsia" w:hAnsiTheme="majorEastAsia" w:eastAsiaTheme="majorEastAsia"/>
                <w:szCs w:val="21"/>
              </w:rPr>
              <w:t>5</w:t>
            </w:r>
            <w:r>
              <w:rPr>
                <w:rFonts w:hint="eastAsia" w:asciiTheme="majorEastAsia" w:hAnsiTheme="majorEastAsia" w:eastAsiaTheme="majorEastAsia"/>
                <w:szCs w:val="21"/>
              </w:rPr>
              <w:t>000</w:t>
            </w:r>
          </w:p>
        </w:tc>
        <w:tc>
          <w:tcPr>
            <w:tcW w:w="2027" w:type="dxa"/>
            <w:vAlign w:val="center"/>
          </w:tcPr>
          <w:p w14:paraId="67F515B3">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0.500%</w:t>
            </w:r>
          </w:p>
        </w:tc>
        <w:tc>
          <w:tcPr>
            <w:tcW w:w="2158" w:type="dxa"/>
            <w:vAlign w:val="center"/>
          </w:tcPr>
          <w:p w14:paraId="5FA5299A">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0.250%</w:t>
            </w:r>
          </w:p>
        </w:tc>
        <w:tc>
          <w:tcPr>
            <w:tcW w:w="2158" w:type="dxa"/>
            <w:vAlign w:val="center"/>
          </w:tcPr>
          <w:p w14:paraId="61FE2B2E">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0.350%</w:t>
            </w:r>
          </w:p>
        </w:tc>
      </w:tr>
      <w:tr w14:paraId="5E8F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0C7D6724">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5</w:t>
            </w:r>
            <w:r>
              <w:rPr>
                <w:rFonts w:hint="eastAsia" w:asciiTheme="majorEastAsia" w:hAnsiTheme="majorEastAsia" w:eastAsiaTheme="majorEastAsia"/>
                <w:szCs w:val="21"/>
              </w:rPr>
              <w:t>000～</w:t>
            </w:r>
            <w:r>
              <w:rPr>
                <w:rFonts w:asciiTheme="majorEastAsia" w:hAnsiTheme="majorEastAsia" w:eastAsiaTheme="majorEastAsia"/>
                <w:szCs w:val="21"/>
              </w:rPr>
              <w:t>1</w:t>
            </w:r>
            <w:r>
              <w:rPr>
                <w:rFonts w:hint="eastAsia" w:asciiTheme="majorEastAsia" w:hAnsiTheme="majorEastAsia" w:eastAsiaTheme="majorEastAsia"/>
                <w:szCs w:val="21"/>
              </w:rPr>
              <w:t>0000</w:t>
            </w:r>
          </w:p>
        </w:tc>
        <w:tc>
          <w:tcPr>
            <w:tcW w:w="2027" w:type="dxa"/>
            <w:vAlign w:val="center"/>
          </w:tcPr>
          <w:p w14:paraId="3E8097BD">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0.250%</w:t>
            </w:r>
          </w:p>
        </w:tc>
        <w:tc>
          <w:tcPr>
            <w:tcW w:w="2158" w:type="dxa"/>
            <w:vAlign w:val="center"/>
          </w:tcPr>
          <w:p w14:paraId="719ECE5B">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0.100%</w:t>
            </w:r>
          </w:p>
        </w:tc>
        <w:tc>
          <w:tcPr>
            <w:tcW w:w="2158" w:type="dxa"/>
            <w:vAlign w:val="center"/>
          </w:tcPr>
          <w:p w14:paraId="3F15E06B">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0.200%</w:t>
            </w:r>
          </w:p>
        </w:tc>
      </w:tr>
      <w:tr w14:paraId="4612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02" w:type="dxa"/>
            <w:vAlign w:val="center"/>
          </w:tcPr>
          <w:p w14:paraId="30FED40F">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0000～</w:t>
            </w:r>
            <w:r>
              <w:rPr>
                <w:rFonts w:asciiTheme="majorEastAsia" w:hAnsiTheme="majorEastAsia" w:eastAsiaTheme="majorEastAsia"/>
                <w:szCs w:val="21"/>
              </w:rPr>
              <w:t>5</w:t>
            </w:r>
            <w:r>
              <w:rPr>
                <w:rFonts w:hint="eastAsia" w:asciiTheme="majorEastAsia" w:hAnsiTheme="majorEastAsia" w:eastAsiaTheme="majorEastAsia"/>
                <w:szCs w:val="21"/>
              </w:rPr>
              <w:t>0000</w:t>
            </w:r>
          </w:p>
        </w:tc>
        <w:tc>
          <w:tcPr>
            <w:tcW w:w="2027" w:type="dxa"/>
            <w:vAlign w:val="center"/>
          </w:tcPr>
          <w:p w14:paraId="532C1118">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0.050%</w:t>
            </w:r>
          </w:p>
        </w:tc>
        <w:tc>
          <w:tcPr>
            <w:tcW w:w="2158" w:type="dxa"/>
            <w:vAlign w:val="center"/>
          </w:tcPr>
          <w:p w14:paraId="662C2934">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0.050%</w:t>
            </w:r>
          </w:p>
        </w:tc>
        <w:tc>
          <w:tcPr>
            <w:tcW w:w="2158" w:type="dxa"/>
            <w:vAlign w:val="center"/>
          </w:tcPr>
          <w:p w14:paraId="780E35DA">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0.050%</w:t>
            </w:r>
          </w:p>
        </w:tc>
      </w:tr>
      <w:tr w14:paraId="24EE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4959DF7D">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5</w:t>
            </w:r>
            <w:r>
              <w:rPr>
                <w:rFonts w:hint="eastAsia" w:asciiTheme="majorEastAsia" w:hAnsiTheme="majorEastAsia" w:eastAsiaTheme="majorEastAsia"/>
                <w:szCs w:val="21"/>
              </w:rPr>
              <w:t>0000～</w:t>
            </w:r>
            <w:r>
              <w:rPr>
                <w:rFonts w:asciiTheme="majorEastAsia" w:hAnsiTheme="majorEastAsia" w:eastAsiaTheme="majorEastAsia"/>
                <w:szCs w:val="21"/>
              </w:rPr>
              <w:t>10</w:t>
            </w:r>
            <w:r>
              <w:rPr>
                <w:rFonts w:hint="eastAsia" w:asciiTheme="majorEastAsia" w:hAnsiTheme="majorEastAsia" w:eastAsiaTheme="majorEastAsia"/>
                <w:szCs w:val="21"/>
              </w:rPr>
              <w:t>0000</w:t>
            </w:r>
          </w:p>
        </w:tc>
        <w:tc>
          <w:tcPr>
            <w:tcW w:w="2027" w:type="dxa"/>
            <w:vAlign w:val="center"/>
          </w:tcPr>
          <w:p w14:paraId="65F021D1">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0.035%</w:t>
            </w:r>
          </w:p>
        </w:tc>
        <w:tc>
          <w:tcPr>
            <w:tcW w:w="2158" w:type="dxa"/>
            <w:vAlign w:val="center"/>
          </w:tcPr>
          <w:p w14:paraId="397C7B5B">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0.035%</w:t>
            </w:r>
          </w:p>
        </w:tc>
        <w:tc>
          <w:tcPr>
            <w:tcW w:w="2158" w:type="dxa"/>
            <w:vAlign w:val="center"/>
          </w:tcPr>
          <w:p w14:paraId="5BCBC7AF">
            <w:pPr>
              <w:snapToGrid w:val="0"/>
              <w:spacing w:line="360" w:lineRule="auto"/>
              <w:jc w:val="center"/>
              <w:rPr>
                <w:rFonts w:asciiTheme="majorEastAsia" w:hAnsiTheme="majorEastAsia" w:eastAsiaTheme="majorEastAsia"/>
                <w:bCs/>
                <w:szCs w:val="21"/>
              </w:rPr>
            </w:pPr>
            <w:r>
              <w:rPr>
                <w:rFonts w:hint="eastAsia" w:asciiTheme="majorEastAsia" w:hAnsiTheme="majorEastAsia" w:eastAsiaTheme="majorEastAsia"/>
                <w:bCs/>
                <w:szCs w:val="21"/>
              </w:rPr>
              <w:t>0.035%</w:t>
            </w:r>
          </w:p>
        </w:tc>
      </w:tr>
      <w:tr w14:paraId="3FC4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145DB014">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10</w:t>
            </w:r>
            <w:r>
              <w:rPr>
                <w:rFonts w:hint="eastAsia" w:asciiTheme="majorEastAsia" w:hAnsiTheme="majorEastAsia" w:eastAsiaTheme="majorEastAsia"/>
                <w:szCs w:val="21"/>
              </w:rPr>
              <w:t>0000～</w:t>
            </w:r>
            <w:r>
              <w:rPr>
                <w:rFonts w:asciiTheme="majorEastAsia" w:hAnsiTheme="majorEastAsia" w:eastAsiaTheme="majorEastAsia"/>
                <w:szCs w:val="21"/>
              </w:rPr>
              <w:t>50</w:t>
            </w:r>
            <w:r>
              <w:rPr>
                <w:rFonts w:hint="eastAsia" w:asciiTheme="majorEastAsia" w:hAnsiTheme="majorEastAsia" w:eastAsiaTheme="majorEastAsia"/>
                <w:szCs w:val="21"/>
              </w:rPr>
              <w:t>0000</w:t>
            </w:r>
          </w:p>
        </w:tc>
        <w:tc>
          <w:tcPr>
            <w:tcW w:w="2027" w:type="dxa"/>
            <w:vAlign w:val="center"/>
          </w:tcPr>
          <w:p w14:paraId="247AC84F">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0.008%</w:t>
            </w:r>
          </w:p>
        </w:tc>
        <w:tc>
          <w:tcPr>
            <w:tcW w:w="2158" w:type="dxa"/>
            <w:vAlign w:val="center"/>
          </w:tcPr>
          <w:p w14:paraId="78774BF5">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0.008%</w:t>
            </w:r>
          </w:p>
        </w:tc>
        <w:tc>
          <w:tcPr>
            <w:tcW w:w="2158" w:type="dxa"/>
            <w:vAlign w:val="center"/>
          </w:tcPr>
          <w:p w14:paraId="1C411D0D">
            <w:pPr>
              <w:snapToGrid w:val="0"/>
              <w:spacing w:line="360" w:lineRule="auto"/>
              <w:jc w:val="center"/>
              <w:rPr>
                <w:rFonts w:asciiTheme="majorEastAsia" w:hAnsiTheme="majorEastAsia" w:eastAsiaTheme="majorEastAsia"/>
                <w:bCs/>
                <w:szCs w:val="21"/>
              </w:rPr>
            </w:pPr>
            <w:r>
              <w:rPr>
                <w:rFonts w:hint="eastAsia" w:asciiTheme="majorEastAsia" w:hAnsiTheme="majorEastAsia" w:eastAsiaTheme="majorEastAsia"/>
                <w:bCs/>
                <w:szCs w:val="21"/>
              </w:rPr>
              <w:t>0.008%</w:t>
            </w:r>
          </w:p>
        </w:tc>
      </w:tr>
      <w:tr w14:paraId="2C12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5710D9E7">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50</w:t>
            </w:r>
            <w:r>
              <w:rPr>
                <w:rFonts w:hint="eastAsia" w:asciiTheme="majorEastAsia" w:hAnsiTheme="majorEastAsia" w:eastAsiaTheme="majorEastAsia"/>
                <w:szCs w:val="21"/>
              </w:rPr>
              <w:t>0000～</w:t>
            </w:r>
            <w:r>
              <w:rPr>
                <w:rFonts w:asciiTheme="majorEastAsia" w:hAnsiTheme="majorEastAsia" w:eastAsiaTheme="majorEastAsia"/>
                <w:szCs w:val="21"/>
              </w:rPr>
              <w:t>100</w:t>
            </w:r>
            <w:r>
              <w:rPr>
                <w:rFonts w:hint="eastAsia" w:asciiTheme="majorEastAsia" w:hAnsiTheme="majorEastAsia" w:eastAsiaTheme="majorEastAsia"/>
                <w:szCs w:val="21"/>
              </w:rPr>
              <w:t>0000</w:t>
            </w:r>
          </w:p>
        </w:tc>
        <w:tc>
          <w:tcPr>
            <w:tcW w:w="2027" w:type="dxa"/>
            <w:vAlign w:val="center"/>
          </w:tcPr>
          <w:p w14:paraId="778D081A">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0.006%</w:t>
            </w:r>
          </w:p>
        </w:tc>
        <w:tc>
          <w:tcPr>
            <w:tcW w:w="2158" w:type="dxa"/>
            <w:vAlign w:val="center"/>
          </w:tcPr>
          <w:p w14:paraId="25234B1F">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0.006%</w:t>
            </w:r>
          </w:p>
        </w:tc>
        <w:tc>
          <w:tcPr>
            <w:tcW w:w="2158" w:type="dxa"/>
            <w:vAlign w:val="center"/>
          </w:tcPr>
          <w:p w14:paraId="04D3D749">
            <w:pPr>
              <w:snapToGrid w:val="0"/>
              <w:spacing w:line="360" w:lineRule="auto"/>
              <w:jc w:val="center"/>
              <w:rPr>
                <w:rFonts w:asciiTheme="majorEastAsia" w:hAnsiTheme="majorEastAsia" w:eastAsiaTheme="majorEastAsia"/>
                <w:bCs/>
                <w:szCs w:val="21"/>
              </w:rPr>
            </w:pPr>
            <w:r>
              <w:rPr>
                <w:rFonts w:hint="eastAsia" w:asciiTheme="majorEastAsia" w:hAnsiTheme="majorEastAsia" w:eastAsiaTheme="majorEastAsia"/>
                <w:bCs/>
                <w:szCs w:val="21"/>
              </w:rPr>
              <w:t>0.006%</w:t>
            </w:r>
          </w:p>
        </w:tc>
      </w:tr>
      <w:tr w14:paraId="5525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02" w:type="dxa"/>
            <w:vAlign w:val="center"/>
          </w:tcPr>
          <w:p w14:paraId="2C21AE6B">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100</w:t>
            </w:r>
            <w:r>
              <w:rPr>
                <w:rFonts w:hint="eastAsia" w:asciiTheme="majorEastAsia" w:hAnsiTheme="majorEastAsia" w:eastAsiaTheme="majorEastAsia"/>
                <w:szCs w:val="21"/>
              </w:rPr>
              <w:t>0000以上</w:t>
            </w:r>
          </w:p>
        </w:tc>
        <w:tc>
          <w:tcPr>
            <w:tcW w:w="2027" w:type="dxa"/>
            <w:vAlign w:val="center"/>
          </w:tcPr>
          <w:p w14:paraId="6A8E694F">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0.004%</w:t>
            </w:r>
          </w:p>
        </w:tc>
        <w:tc>
          <w:tcPr>
            <w:tcW w:w="2158" w:type="dxa"/>
            <w:vAlign w:val="center"/>
          </w:tcPr>
          <w:p w14:paraId="7D99CD4B">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0.004%</w:t>
            </w:r>
          </w:p>
        </w:tc>
        <w:tc>
          <w:tcPr>
            <w:tcW w:w="2158" w:type="dxa"/>
            <w:vAlign w:val="center"/>
          </w:tcPr>
          <w:p w14:paraId="1D0E3284">
            <w:pPr>
              <w:snapToGrid w:val="0"/>
              <w:spacing w:line="360" w:lineRule="auto"/>
              <w:jc w:val="center"/>
              <w:rPr>
                <w:rFonts w:asciiTheme="majorEastAsia" w:hAnsiTheme="majorEastAsia" w:eastAsiaTheme="majorEastAsia"/>
                <w:bCs/>
                <w:szCs w:val="21"/>
              </w:rPr>
            </w:pPr>
            <w:r>
              <w:rPr>
                <w:rFonts w:hint="eastAsia" w:asciiTheme="majorEastAsia" w:hAnsiTheme="majorEastAsia" w:eastAsiaTheme="majorEastAsia"/>
                <w:bCs/>
                <w:szCs w:val="21"/>
              </w:rPr>
              <w:t>0.004%</w:t>
            </w:r>
          </w:p>
        </w:tc>
      </w:tr>
    </w:tbl>
    <w:p w14:paraId="5D4DD295">
      <w:pPr>
        <w:spacing w:line="360" w:lineRule="auto"/>
        <w:ind w:firstLine="411" w:firstLineChars="196"/>
        <w:rPr>
          <w:rFonts w:asciiTheme="majorEastAsia" w:hAnsiTheme="majorEastAsia" w:eastAsiaTheme="majorEastAsia"/>
          <w:szCs w:val="21"/>
        </w:rPr>
      </w:pPr>
    </w:p>
    <w:bookmarkEnd w:id="65"/>
    <w:p w14:paraId="3561AD6B">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公开招标失败的后续处理</w:t>
      </w:r>
    </w:p>
    <w:p w14:paraId="0968AF9C">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42．公开招标失败的处理</w:t>
      </w:r>
    </w:p>
    <w:p w14:paraId="4BC1858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42.1本项目公开招标过程中若由于投标截止后实际递交</w:t>
      </w:r>
      <w:r>
        <w:rPr>
          <w:rFonts w:asciiTheme="majorEastAsia" w:hAnsiTheme="majorEastAsia" w:eastAsiaTheme="majorEastAsia"/>
          <w:szCs w:val="21"/>
        </w:rPr>
        <w:t>投标</w:t>
      </w:r>
      <w:r>
        <w:rPr>
          <w:rFonts w:hint="eastAsia" w:asciiTheme="majorEastAsia" w:hAnsiTheme="majorEastAsia" w:eastAsiaTheme="majorEastAsia"/>
          <w:szCs w:val="21"/>
        </w:rPr>
        <w:t>文件的供应商数量不足、经评审委员会评审对招标文件作实质响应的供应商不足等原因造成公开招标失败，可由</w:t>
      </w:r>
      <w:r>
        <w:rPr>
          <w:rFonts w:hint="eastAsia" w:cs="宋体" w:asciiTheme="majorEastAsia" w:hAnsiTheme="majorEastAsia" w:eastAsiaTheme="majorEastAsia"/>
          <w:szCs w:val="21"/>
        </w:rPr>
        <w:t>采购代理机构</w:t>
      </w:r>
      <w:r>
        <w:rPr>
          <w:rFonts w:hint="eastAsia" w:asciiTheme="majorEastAsia" w:hAnsiTheme="majorEastAsia" w:eastAsiaTheme="majorEastAsia"/>
          <w:szCs w:val="21"/>
        </w:rPr>
        <w:t>重新组织采购。</w:t>
      </w:r>
    </w:p>
    <w:p w14:paraId="433C664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42.2对公开招标失败的项目，评审委员会在出具该项目招标失败结论的同时，可以提出重新采购组织形式的建议，以及进一步完善招标文件的资格、技术、商务要求的修改建议。</w:t>
      </w:r>
    </w:p>
    <w:p w14:paraId="13F9C12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42.3重新组织采购有以下两种组织形式：</w:t>
      </w:r>
    </w:p>
    <w:p w14:paraId="2CAF271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（1）由采购代理机构重新组织公开招标；</w:t>
      </w:r>
    </w:p>
    <w:p w14:paraId="026A852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（2）根据实际情况需要向同级财政部门提出非公开招标方式申请的，经同级财政部门批准，公开招标失败采购项目可转为竞争性谈判或单一来源谈判方式采购。</w:t>
      </w:r>
    </w:p>
    <w:p w14:paraId="0483912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42.4公开招标失败的采购项目重新组织公开招标，由采购代理机构重新按公开招标流程组织采购活动。</w:t>
      </w:r>
    </w:p>
    <w:p w14:paraId="7FB0ACA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42.5公开招标失败的采购项目经同级财政部门批准转为竞争性谈判或单一来源谈判方式采购的，按规定要求组织政府采购工作。</w:t>
      </w:r>
    </w:p>
    <w:p w14:paraId="0CB78C21">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bookmarkStart w:id="66" w:name="_Hlk72439043"/>
      <w:r>
        <w:rPr>
          <w:rFonts w:hint="eastAsia" w:asciiTheme="majorEastAsia" w:hAnsiTheme="majorEastAsia" w:eastAsiaTheme="majorEastAsia"/>
          <w:b/>
          <w:bCs/>
          <w:kern w:val="0"/>
          <w:sz w:val="28"/>
          <w:szCs w:val="28"/>
        </w:rPr>
        <w:t>合同的授予与备案</w:t>
      </w:r>
      <w:bookmarkEnd w:id="66"/>
    </w:p>
    <w:p w14:paraId="154D94C9">
      <w:pPr>
        <w:spacing w:line="360" w:lineRule="auto"/>
        <w:rPr>
          <w:rFonts w:asciiTheme="majorEastAsia" w:hAnsiTheme="majorEastAsia" w:eastAsiaTheme="majorEastAsia"/>
          <w:b/>
          <w:bCs/>
          <w:szCs w:val="21"/>
        </w:rPr>
      </w:pPr>
      <w:bookmarkStart w:id="67" w:name="_Toc73521586"/>
      <w:bookmarkStart w:id="68" w:name="_Toc100052408"/>
      <w:bookmarkStart w:id="69" w:name="_Toc73521674"/>
      <w:bookmarkStart w:id="70" w:name="_Toc73518157"/>
      <w:bookmarkStart w:id="71" w:name="_Toc73517679"/>
      <w:bookmarkStart w:id="72" w:name="_Hlk72439088"/>
      <w:r>
        <w:rPr>
          <w:rFonts w:hint="eastAsia" w:asciiTheme="majorEastAsia" w:hAnsiTheme="majorEastAsia" w:eastAsiaTheme="majorEastAsia"/>
          <w:b/>
          <w:bCs/>
          <w:szCs w:val="21"/>
        </w:rPr>
        <w:t>43．合同授予标准</w:t>
      </w:r>
      <w:bookmarkEnd w:id="67"/>
      <w:bookmarkEnd w:id="68"/>
      <w:bookmarkEnd w:id="69"/>
      <w:bookmarkEnd w:id="70"/>
      <w:bookmarkEnd w:id="71"/>
    </w:p>
    <w:p w14:paraId="6F5893F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本项目的合同将授予经本招标文件规定评审确定的中标供应商。</w:t>
      </w:r>
    </w:p>
    <w:p w14:paraId="195BD9AC">
      <w:pPr>
        <w:spacing w:line="360" w:lineRule="auto"/>
        <w:rPr>
          <w:rFonts w:asciiTheme="majorEastAsia" w:hAnsiTheme="majorEastAsia" w:eastAsiaTheme="majorEastAsia"/>
          <w:b/>
          <w:bCs/>
          <w:szCs w:val="21"/>
        </w:rPr>
      </w:pPr>
      <w:bookmarkStart w:id="73" w:name="_Toc73521587"/>
      <w:bookmarkStart w:id="74" w:name="_Toc73518158"/>
      <w:bookmarkStart w:id="75" w:name="_Toc100052409"/>
      <w:bookmarkStart w:id="76" w:name="_Toc73521675"/>
      <w:bookmarkStart w:id="77" w:name="_Toc73517680"/>
      <w:r>
        <w:rPr>
          <w:rFonts w:hint="eastAsia" w:asciiTheme="majorEastAsia" w:hAnsiTheme="majorEastAsia" w:eastAsiaTheme="majorEastAsia"/>
          <w:b/>
          <w:bCs/>
          <w:szCs w:val="21"/>
        </w:rPr>
        <w:t>44．</w:t>
      </w:r>
      <w:bookmarkEnd w:id="73"/>
      <w:bookmarkEnd w:id="74"/>
      <w:bookmarkEnd w:id="75"/>
      <w:bookmarkEnd w:id="76"/>
      <w:bookmarkEnd w:id="77"/>
      <w:r>
        <w:rPr>
          <w:rFonts w:hint="eastAsia" w:asciiTheme="majorEastAsia" w:hAnsiTheme="majorEastAsia" w:eastAsiaTheme="majorEastAsia"/>
          <w:b/>
          <w:bCs/>
          <w:szCs w:val="21"/>
        </w:rPr>
        <w:t>接受和拒绝任何或所有投标的权力</w:t>
      </w:r>
    </w:p>
    <w:p w14:paraId="3093427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73536E03">
      <w:pPr>
        <w:spacing w:line="360" w:lineRule="auto"/>
        <w:rPr>
          <w:rFonts w:asciiTheme="majorEastAsia" w:hAnsiTheme="majorEastAsia" w:eastAsiaTheme="majorEastAsia"/>
          <w:b/>
          <w:bCs/>
          <w:szCs w:val="21"/>
        </w:rPr>
      </w:pPr>
      <w:bookmarkStart w:id="78" w:name="_Toc100052410"/>
      <w:bookmarkStart w:id="79" w:name="_Toc73517682"/>
      <w:bookmarkStart w:id="80" w:name="_Toc73521589"/>
      <w:bookmarkStart w:id="81" w:name="_Toc73518160"/>
      <w:bookmarkStart w:id="82" w:name="_Toc73521677"/>
      <w:r>
        <w:rPr>
          <w:rFonts w:hint="eastAsia" w:asciiTheme="majorEastAsia" w:hAnsiTheme="majorEastAsia" w:eastAsiaTheme="majorEastAsia"/>
          <w:b/>
          <w:bCs/>
          <w:szCs w:val="21"/>
        </w:rPr>
        <w:t>45．合同的签订</w:t>
      </w:r>
      <w:bookmarkEnd w:id="78"/>
      <w:bookmarkEnd w:id="79"/>
      <w:bookmarkEnd w:id="80"/>
      <w:bookmarkEnd w:id="81"/>
      <w:bookmarkEnd w:id="82"/>
    </w:p>
    <w:p w14:paraId="5772B92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45.1中标人将于中标通知书发出之日起十个工作日内，按照采购文件（招标文件和投标文件等）内容与采购人签订政府采购合同；合同的实质性内容应当符合招标文件的规定；</w:t>
      </w:r>
    </w:p>
    <w:p w14:paraId="45122A8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45.2中标人如不按本通用条款第45</w:t>
      </w:r>
      <w:r>
        <w:rPr>
          <w:rFonts w:asciiTheme="majorEastAsia" w:hAnsiTheme="majorEastAsia" w:eastAsiaTheme="majorEastAsia"/>
          <w:szCs w:val="21"/>
        </w:rPr>
        <w:t>.1</w:t>
      </w:r>
      <w:r>
        <w:rPr>
          <w:rFonts w:hint="eastAsia" w:asciiTheme="majorEastAsia" w:hAnsiTheme="majorEastAsia" w:eastAsiaTheme="majorEastAsia"/>
          <w:szCs w:val="21"/>
        </w:rPr>
        <w:t>款的规定与采购人签订合同，</w:t>
      </w:r>
      <w:r>
        <w:rPr>
          <w:rFonts w:cs="宋体" w:asciiTheme="majorEastAsia" w:hAnsiTheme="majorEastAsia" w:eastAsiaTheme="majorEastAsia"/>
          <w:szCs w:val="21"/>
        </w:rPr>
        <w:t>情节严重的，由</w:t>
      </w:r>
      <w:r>
        <w:rPr>
          <w:rFonts w:hint="eastAsia" w:cs="宋体" w:asciiTheme="majorEastAsia" w:hAnsiTheme="majorEastAsia" w:eastAsiaTheme="majorEastAsia"/>
          <w:szCs w:val="21"/>
        </w:rPr>
        <w:t>同级财政</w:t>
      </w:r>
      <w:r>
        <w:rPr>
          <w:rFonts w:cs="宋体" w:asciiTheme="majorEastAsia" w:hAnsiTheme="majorEastAsia" w:eastAsiaTheme="majorEastAsia"/>
          <w:szCs w:val="21"/>
        </w:rPr>
        <w:t>部门记入供应商诚信档案，予以通报</w:t>
      </w:r>
      <w:r>
        <w:rPr>
          <w:rFonts w:hint="eastAsia" w:asciiTheme="majorEastAsia" w:hAnsiTheme="majorEastAsia" w:eastAsiaTheme="majorEastAsia"/>
          <w:szCs w:val="21"/>
        </w:rPr>
        <w:t>；</w:t>
      </w:r>
    </w:p>
    <w:p w14:paraId="7FAB160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45.3中标人应当按照合同约定履行义务，完成中标项目，不得将中标项目转让（转包）给他人。</w:t>
      </w:r>
    </w:p>
    <w:p w14:paraId="447E5DC8">
      <w:pPr>
        <w:spacing w:line="360" w:lineRule="auto"/>
        <w:rPr>
          <w:rFonts w:asciiTheme="majorEastAsia" w:hAnsiTheme="majorEastAsia" w:eastAsiaTheme="majorEastAsia"/>
          <w:b/>
          <w:bCs/>
          <w:szCs w:val="21"/>
        </w:rPr>
      </w:pPr>
      <w:bookmarkStart w:id="83" w:name="_Toc100052411"/>
      <w:bookmarkStart w:id="84" w:name="_Toc73517683"/>
      <w:bookmarkStart w:id="85" w:name="_Toc73518161"/>
      <w:bookmarkStart w:id="86" w:name="_Toc73521678"/>
      <w:bookmarkStart w:id="87" w:name="_Toc73521590"/>
      <w:r>
        <w:rPr>
          <w:rFonts w:hint="eastAsia" w:asciiTheme="majorEastAsia" w:hAnsiTheme="majorEastAsia" w:eastAsiaTheme="majorEastAsia"/>
          <w:b/>
          <w:bCs/>
          <w:szCs w:val="21"/>
        </w:rPr>
        <w:t>46．履约担保</w:t>
      </w:r>
      <w:bookmarkEnd w:id="83"/>
      <w:bookmarkEnd w:id="84"/>
      <w:bookmarkEnd w:id="85"/>
      <w:bookmarkEnd w:id="86"/>
      <w:bookmarkEnd w:id="87"/>
    </w:p>
    <w:p w14:paraId="6FFA052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46.1在签订项目合同的同时，中标人应按“对通用条款的补充内容”中规定的金额向采购人提交履约担保；</w:t>
      </w:r>
    </w:p>
    <w:p w14:paraId="0868091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46.2，允许供应商自主选择以支票、汇票、本票、保函等非现金方式提交履约担保；</w:t>
      </w:r>
      <w:r>
        <w:rPr>
          <w:rFonts w:asciiTheme="majorEastAsia" w:hAnsiTheme="majorEastAsia" w:eastAsiaTheme="majorEastAsia"/>
          <w:szCs w:val="21"/>
        </w:rPr>
        <w:t>中标</w:t>
      </w:r>
      <w:r>
        <w:rPr>
          <w:rFonts w:hint="eastAsia" w:asciiTheme="majorEastAsia" w:hAnsiTheme="majorEastAsia" w:eastAsiaTheme="majorEastAsia"/>
          <w:szCs w:val="21"/>
        </w:rPr>
        <w:t>人</w:t>
      </w:r>
      <w:r>
        <w:rPr>
          <w:rFonts w:asciiTheme="majorEastAsia" w:hAnsiTheme="majorEastAsia" w:eastAsiaTheme="majorEastAsia"/>
          <w:szCs w:val="21"/>
        </w:rPr>
        <w:t>提交履约</w:t>
      </w:r>
      <w:r>
        <w:rPr>
          <w:rFonts w:hint="eastAsia" w:asciiTheme="majorEastAsia" w:hAnsiTheme="majorEastAsia" w:eastAsiaTheme="majorEastAsia"/>
          <w:szCs w:val="21"/>
        </w:rPr>
        <w:t>担保不是</w:t>
      </w:r>
      <w:r>
        <w:rPr>
          <w:rFonts w:asciiTheme="majorEastAsia" w:hAnsiTheme="majorEastAsia" w:eastAsiaTheme="majorEastAsia"/>
          <w:szCs w:val="21"/>
        </w:rPr>
        <w:t>合同签订的</w:t>
      </w:r>
      <w:r>
        <w:rPr>
          <w:rFonts w:hint="eastAsia" w:asciiTheme="majorEastAsia" w:hAnsiTheme="majorEastAsia" w:eastAsiaTheme="majorEastAsia"/>
          <w:szCs w:val="21"/>
        </w:rPr>
        <w:t>前提</w:t>
      </w:r>
      <w:r>
        <w:rPr>
          <w:rFonts w:asciiTheme="majorEastAsia" w:hAnsiTheme="majorEastAsia" w:eastAsiaTheme="majorEastAsia"/>
          <w:szCs w:val="21"/>
        </w:rPr>
        <w:t>条件，不要求中标</w:t>
      </w:r>
      <w:r>
        <w:rPr>
          <w:rFonts w:hint="eastAsia" w:asciiTheme="majorEastAsia" w:hAnsiTheme="majorEastAsia" w:eastAsiaTheme="majorEastAsia"/>
          <w:szCs w:val="21"/>
        </w:rPr>
        <w:t>人</w:t>
      </w:r>
      <w:r>
        <w:rPr>
          <w:rFonts w:asciiTheme="majorEastAsia" w:hAnsiTheme="majorEastAsia" w:eastAsiaTheme="majorEastAsia"/>
          <w:szCs w:val="21"/>
        </w:rPr>
        <w:t>提供除法律、法规明确规定外的其他担保</w:t>
      </w:r>
      <w:r>
        <w:rPr>
          <w:rFonts w:hint="eastAsia" w:asciiTheme="majorEastAsia" w:hAnsiTheme="majorEastAsia" w:eastAsiaTheme="majorEastAsia"/>
          <w:szCs w:val="21"/>
        </w:rPr>
        <w:t>。</w:t>
      </w:r>
    </w:p>
    <w:p w14:paraId="78E87ED1">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47. 合同备案</w:t>
      </w:r>
    </w:p>
    <w:p w14:paraId="6718E4C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采购人与中标人应于合同签订之日起十日内，由采购人或委托中标人将采购合同副本抄送合同备案工作实施机构备案。</w:t>
      </w:r>
    </w:p>
    <w:p w14:paraId="7C4F0717">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48. 合同变更</w:t>
      </w:r>
    </w:p>
    <w:p w14:paraId="2F51F3D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合同变更事宜按《深圳市财政局 深圳市政府采购中心关于进一步加强市本级政府采购合同备案管理工作的通知》（深财购〔2019〕43号）相关规定执行。</w:t>
      </w:r>
    </w:p>
    <w:p w14:paraId="7F7A1DD0">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49. 项目验收</w:t>
      </w:r>
    </w:p>
    <w:p w14:paraId="74A8280F">
      <w:pPr>
        <w:spacing w:line="360" w:lineRule="auto"/>
        <w:ind w:right="176" w:firstLine="420"/>
        <w:rPr>
          <w:rFonts w:asciiTheme="majorEastAsia" w:hAnsiTheme="majorEastAsia" w:eastAsiaTheme="majorEastAsia"/>
          <w:szCs w:val="21"/>
        </w:rPr>
      </w:pPr>
      <w:r>
        <w:rPr>
          <w:rFonts w:hint="eastAsia" w:asciiTheme="majorEastAsia" w:hAnsiTheme="majorEastAsia" w:eastAsiaTheme="majorEastAsia"/>
          <w:szCs w:val="21"/>
        </w:rPr>
        <w:t>49.1采购人应当按照招标文件和合同规定的标准和方法，及时组织验收。</w:t>
      </w:r>
    </w:p>
    <w:p w14:paraId="5C38CCD5">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50. 宣传</w:t>
      </w:r>
    </w:p>
    <w:p w14:paraId="03A0E4D2">
      <w:pPr>
        <w:spacing w:line="360" w:lineRule="auto"/>
        <w:ind w:left="210" w:leftChars="100" w:firstLine="411" w:firstLineChars="196"/>
        <w:rPr>
          <w:rFonts w:asciiTheme="majorEastAsia" w:hAnsiTheme="majorEastAsia" w:eastAsiaTheme="majorEastAsia"/>
          <w:szCs w:val="21"/>
        </w:rPr>
      </w:pPr>
      <w:r>
        <w:rPr>
          <w:rFonts w:hint="eastAsia" w:asciiTheme="majorEastAsia" w:hAnsiTheme="majorEastAsia" w:eastAsiaTheme="majorEastAsia"/>
          <w:szCs w:val="21"/>
        </w:rPr>
        <w:t>凡与政府采购活动有关的宣传或广告，若当中提及政府采购，</w:t>
      </w:r>
      <w:r>
        <w:rPr>
          <w:rFonts w:asciiTheme="majorEastAsia" w:hAnsiTheme="majorEastAsia" w:eastAsiaTheme="majorEastAsia"/>
          <w:szCs w:val="21"/>
        </w:rPr>
        <w:t>必须事先将具体对外宣传方案报</w:t>
      </w:r>
      <w:r>
        <w:rPr>
          <w:rFonts w:hint="eastAsia" w:asciiTheme="majorEastAsia" w:hAnsiTheme="majorEastAsia" w:eastAsiaTheme="majorEastAsia"/>
          <w:szCs w:val="21"/>
        </w:rPr>
        <w:t>同级财政部门</w:t>
      </w:r>
      <w:r>
        <w:rPr>
          <w:rFonts w:asciiTheme="majorEastAsia" w:hAnsiTheme="majorEastAsia" w:eastAsiaTheme="majorEastAsia"/>
          <w:szCs w:val="21"/>
        </w:rPr>
        <w:t>和</w:t>
      </w:r>
      <w:r>
        <w:rPr>
          <w:rFonts w:hint="eastAsia" w:asciiTheme="majorEastAsia" w:hAnsiTheme="majorEastAsia" w:eastAsiaTheme="majorEastAsia"/>
          <w:szCs w:val="21"/>
        </w:rPr>
        <w:t>采购代理机构</w:t>
      </w:r>
      <w:r>
        <w:rPr>
          <w:rFonts w:asciiTheme="majorEastAsia" w:hAnsiTheme="majorEastAsia" w:eastAsiaTheme="majorEastAsia"/>
          <w:szCs w:val="21"/>
        </w:rPr>
        <w:t>，并征得其同意。对外市场宣传包括但不限于以下形式：</w:t>
      </w:r>
    </w:p>
    <w:p w14:paraId="08982224">
      <w:pPr>
        <w:spacing w:line="360" w:lineRule="auto"/>
        <w:ind w:left="210" w:leftChars="100" w:firstLine="411" w:firstLineChars="196"/>
        <w:rPr>
          <w:rFonts w:asciiTheme="majorEastAsia" w:hAnsiTheme="majorEastAsia" w:eastAsiaTheme="majorEastAsia"/>
          <w:szCs w:val="21"/>
        </w:rPr>
      </w:pPr>
      <w:r>
        <w:rPr>
          <w:rFonts w:asciiTheme="majorEastAsia" w:hAnsiTheme="majorEastAsia" w:eastAsiaTheme="majorEastAsia"/>
          <w:szCs w:val="21"/>
        </w:rPr>
        <w:t>a.名片、宣传册、广告标语等；</w:t>
      </w:r>
    </w:p>
    <w:p w14:paraId="59435A14">
      <w:pPr>
        <w:spacing w:line="360" w:lineRule="auto"/>
        <w:ind w:left="210" w:leftChars="100" w:firstLine="411" w:firstLineChars="196"/>
        <w:rPr>
          <w:rFonts w:asciiTheme="majorEastAsia" w:hAnsiTheme="majorEastAsia" w:eastAsiaTheme="majorEastAsia"/>
          <w:szCs w:val="21"/>
        </w:rPr>
      </w:pPr>
      <w:r>
        <w:rPr>
          <w:rFonts w:asciiTheme="majorEastAsia" w:hAnsiTheme="majorEastAsia" w:eastAsiaTheme="majorEastAsia"/>
          <w:szCs w:val="21"/>
        </w:rPr>
        <w:t>b.案例介绍、推广等；</w:t>
      </w:r>
    </w:p>
    <w:p w14:paraId="1B752F1A">
      <w:pPr>
        <w:spacing w:line="360" w:lineRule="auto"/>
        <w:ind w:left="210" w:leftChars="100" w:firstLine="411" w:firstLineChars="196"/>
        <w:rPr>
          <w:rFonts w:asciiTheme="majorEastAsia" w:hAnsiTheme="majorEastAsia" w:eastAsiaTheme="majorEastAsia"/>
          <w:szCs w:val="21"/>
        </w:rPr>
      </w:pPr>
      <w:r>
        <w:rPr>
          <w:rFonts w:hint="eastAsia" w:asciiTheme="majorEastAsia" w:hAnsiTheme="majorEastAsia" w:eastAsiaTheme="majorEastAsia"/>
          <w:szCs w:val="21"/>
        </w:rPr>
        <w:t>c.工作</w:t>
      </w:r>
      <w:r>
        <w:rPr>
          <w:rFonts w:asciiTheme="majorEastAsia" w:hAnsiTheme="majorEastAsia" w:eastAsiaTheme="majorEastAsia"/>
          <w:szCs w:val="21"/>
        </w:rPr>
        <w:t>人员向其他消费群体宣传。</w:t>
      </w:r>
    </w:p>
    <w:p w14:paraId="5EF367D1">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51. 供应商违法责任</w:t>
      </w:r>
    </w:p>
    <w:p w14:paraId="2A6C0FE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w:t>
      </w:r>
      <w:r>
        <w:rPr>
          <w:rFonts w:asciiTheme="majorEastAsia" w:hAnsiTheme="majorEastAsia" w:eastAsiaTheme="majorEastAsia"/>
          <w:szCs w:val="21"/>
        </w:rPr>
        <w:t>1.1</w:t>
      </w:r>
      <w:r>
        <w:rPr>
          <w:rFonts w:hint="eastAsia" w:asciiTheme="majorEastAsia" w:hAnsiTheme="majorEastAsia" w:eastAsiaTheme="major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3EA168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（1）在采购活动中应当回避而未回避的；</w:t>
      </w:r>
    </w:p>
    <w:p w14:paraId="09D3013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（2）未按本条例规定签订、履行采购合同，造成严重后果的；</w:t>
      </w:r>
    </w:p>
    <w:p w14:paraId="331E406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（3）隐瞒真实情况，提供虚假资料的；</w:t>
      </w:r>
    </w:p>
    <w:p w14:paraId="1BC6210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（4）以非法手段排斥其他供应商参与竞争的；</w:t>
      </w:r>
    </w:p>
    <w:p w14:paraId="07CBBD4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（5）与其他采购参加人串通投标的；</w:t>
      </w:r>
    </w:p>
    <w:p w14:paraId="4910C6C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（6）恶意投诉的；</w:t>
      </w:r>
    </w:p>
    <w:p w14:paraId="5C61E7A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（7）向采购项目相关人行贿或者提供其他不当利益的；</w:t>
      </w:r>
    </w:p>
    <w:p w14:paraId="18F13BC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（8）阻碍、抗拒主管部门监督检查的；</w:t>
      </w:r>
    </w:p>
    <w:p w14:paraId="20F19E1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（9）其他违反本条例规定的行为。</w:t>
      </w:r>
    </w:p>
    <w:p w14:paraId="702C80F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w:t>
      </w:r>
      <w:r>
        <w:rPr>
          <w:rFonts w:asciiTheme="majorEastAsia" w:hAnsiTheme="majorEastAsia" w:eastAsiaTheme="majorEastAsia"/>
          <w:szCs w:val="21"/>
        </w:rPr>
        <w:t xml:space="preserve">1.2 </w:t>
      </w:r>
      <w:r>
        <w:rPr>
          <w:rFonts w:hint="eastAsia" w:asciiTheme="majorEastAsia" w:hAnsiTheme="majorEastAsia" w:eastAsiaTheme="majorEastAsia"/>
          <w:szCs w:val="21"/>
        </w:rPr>
        <w:t>根据《深圳市财政局关于明确政府采购保证金管理工作的通知》（深财购[2019]42号）的要求，供应商在政府采购活动中出现《深圳经济特区政府采购条例实施细则》第八十四条所列情形的，</w:t>
      </w:r>
      <w:bookmarkStart w:id="88" w:name="_Hlk72440769"/>
      <w:r>
        <w:rPr>
          <w:rFonts w:hint="eastAsia" w:asciiTheme="majorEastAsia" w:hAnsiTheme="majorEastAsia" w:eastAsiaTheme="majorEastAsia"/>
          <w:szCs w:val="21"/>
        </w:rPr>
        <w:t>采购人或采购代理机构</w:t>
      </w:r>
      <w:bookmarkEnd w:id="88"/>
      <w:r>
        <w:rPr>
          <w:rFonts w:hint="eastAsia" w:asciiTheme="majorEastAsia" w:hAnsiTheme="majorEastAsia" w:eastAsiaTheme="majorEastAsia"/>
          <w:szCs w:val="21"/>
        </w:rPr>
        <w:t>可将有关情况报同级财政部门，由财政部门根据实际情况记入供应商诚信档案，予以通报：</w:t>
      </w:r>
    </w:p>
    <w:p w14:paraId="738308D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）投标截止后，撤销投标的；</w:t>
      </w:r>
    </w:p>
    <w:p w14:paraId="67057DE4">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）中标后无正当理由未在规定期限内签订合同的；</w:t>
      </w:r>
    </w:p>
    <w:p w14:paraId="33AD450E">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3</w:t>
      </w:r>
      <w:r>
        <w:rPr>
          <w:rFonts w:asciiTheme="majorEastAsia" w:hAnsiTheme="majorEastAsia" w:eastAsiaTheme="majorEastAsia"/>
          <w:szCs w:val="21"/>
        </w:rPr>
        <w:t>）将中标项目转让给他人、或者在投标文件中未说明且未经采购人、采购招标机构同意，将中标项目分包给他人的；</w:t>
      </w:r>
    </w:p>
    <w:p w14:paraId="5A27B2CF">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4</w:t>
      </w:r>
      <w:r>
        <w:rPr>
          <w:rFonts w:asciiTheme="majorEastAsia" w:hAnsiTheme="majorEastAsia" w:eastAsiaTheme="majorEastAsia"/>
          <w:szCs w:val="21"/>
        </w:rPr>
        <w:t>）拒绝履行合同义务的</w:t>
      </w:r>
      <w:r>
        <w:rPr>
          <w:rFonts w:hint="eastAsia" w:asciiTheme="majorEastAsia" w:hAnsiTheme="majorEastAsia" w:eastAsiaTheme="majorEastAsia"/>
          <w:szCs w:val="21"/>
        </w:rPr>
        <w:t>。</w:t>
      </w:r>
    </w:p>
    <w:bookmarkEnd w:id="72"/>
    <w:p w14:paraId="6C2818F2">
      <w:pPr>
        <w:keepNext/>
        <w:keepLines/>
        <w:widowControl/>
        <w:numPr>
          <w:ilvl w:val="0"/>
          <w:numId w:val="1"/>
        </w:numPr>
        <w:adjustRightInd w:val="0"/>
        <w:spacing w:before="156" w:beforeLines="50" w:after="156" w:afterLines="50" w:line="360" w:lineRule="auto"/>
        <w:ind w:left="562" w:hanging="562"/>
        <w:jc w:val="center"/>
        <w:textAlignment w:val="baseline"/>
        <w:outlineLvl w:val="1"/>
        <w:rPr>
          <w:rFonts w:asciiTheme="majorEastAsia" w:hAnsiTheme="majorEastAsia" w:eastAsiaTheme="majorEastAsia"/>
          <w:b/>
          <w:bCs/>
          <w:kern w:val="0"/>
          <w:sz w:val="28"/>
          <w:szCs w:val="28"/>
        </w:rPr>
      </w:pPr>
      <w:r>
        <w:rPr>
          <w:rFonts w:hint="eastAsia" w:asciiTheme="majorEastAsia" w:hAnsiTheme="majorEastAsia" w:eastAsiaTheme="majorEastAsia"/>
          <w:b/>
          <w:bCs/>
          <w:kern w:val="0"/>
          <w:sz w:val="28"/>
          <w:szCs w:val="28"/>
        </w:rPr>
        <w:t>质疑处理</w:t>
      </w:r>
    </w:p>
    <w:p w14:paraId="6ED6547F">
      <w:pPr>
        <w:spacing w:line="360" w:lineRule="auto"/>
        <w:rPr>
          <w:rFonts w:asciiTheme="majorEastAsia" w:hAnsiTheme="majorEastAsia" w:eastAsiaTheme="majorEastAsia"/>
          <w:b/>
          <w:bCs/>
          <w:szCs w:val="21"/>
        </w:rPr>
      </w:pPr>
      <w:bookmarkStart w:id="89" w:name="_Hlk72439706"/>
      <w:r>
        <w:rPr>
          <w:rFonts w:hint="eastAsia" w:asciiTheme="majorEastAsia" w:hAnsiTheme="majorEastAsia" w:eastAsiaTheme="majorEastAsia"/>
          <w:b/>
          <w:bCs/>
          <w:szCs w:val="21"/>
        </w:rPr>
        <w:t>52.质疑提出与答复</w:t>
      </w:r>
    </w:p>
    <w:p w14:paraId="23EDB0A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52.1提出质疑</w:t>
      </w:r>
    </w:p>
    <w:p w14:paraId="5EA7F73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7325266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52.2</w:t>
      </w:r>
      <w:r>
        <w:rPr>
          <w:rFonts w:asciiTheme="majorEastAsia" w:hAnsiTheme="majorEastAsia" w:eastAsiaTheme="majorEastAsia"/>
          <w:szCs w:val="21"/>
        </w:rPr>
        <w:t>法律依据</w:t>
      </w:r>
    </w:p>
    <w:p w14:paraId="6975576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66F96A0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52.3质疑条件</w:t>
      </w:r>
    </w:p>
    <w:p w14:paraId="13567D1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52.3.1提出质疑的供应商应当是参与所质疑项目采购活动的供应商；</w:t>
      </w:r>
      <w:bookmarkStart w:id="90" w:name="_Hlk75374941"/>
      <w:r>
        <w:rPr>
          <w:rFonts w:hint="eastAsia" w:asciiTheme="majorEastAsia" w:hAnsiTheme="majorEastAsia" w:eastAsiaTheme="majorEastAsia"/>
          <w:szCs w:val="21"/>
        </w:rPr>
        <w:t>以联合体形式参与的，质疑应当由组成联合体的所有成员共同提出</w:t>
      </w:r>
      <w:bookmarkEnd w:id="90"/>
      <w:r>
        <w:rPr>
          <w:rFonts w:hint="eastAsia" w:asciiTheme="majorEastAsia" w:hAnsiTheme="majorEastAsia" w:eastAsiaTheme="majorEastAsia"/>
          <w:szCs w:val="21"/>
        </w:rPr>
        <w:t>；</w:t>
      </w:r>
    </w:p>
    <w:p w14:paraId="247EF8E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C013D59">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52.3.3应提交书面质疑函，质疑函应当包括以下内容：</w:t>
      </w:r>
    </w:p>
    <w:p w14:paraId="73EEC25B">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（1）供应商的名称（或者姓名）、地址、邮编、邮箱、联系人及联系电话；</w:t>
      </w:r>
    </w:p>
    <w:p w14:paraId="7EA9C98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96E8E1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64ACF2E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6C8BB53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5A95592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3EF6537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4EA6D1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0FBA7B4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52.4提交</w:t>
      </w:r>
      <w:r>
        <w:rPr>
          <w:rFonts w:asciiTheme="majorEastAsia" w:hAnsiTheme="majorEastAsia" w:eastAsiaTheme="majorEastAsia"/>
          <w:szCs w:val="21"/>
        </w:rPr>
        <w:t>材料</w:t>
      </w:r>
    </w:p>
    <w:p w14:paraId="7C3AB03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1283F7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B6386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52.5提交方式</w:t>
      </w:r>
    </w:p>
    <w:p w14:paraId="5B562D15">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5</w:t>
      </w:r>
      <w:r>
        <w:rPr>
          <w:rFonts w:asciiTheme="majorEastAsia" w:hAnsiTheme="majorEastAsia" w:eastAsiaTheme="majorEastAsia"/>
          <w:szCs w:val="21"/>
        </w:rPr>
        <w:t>2.5.1</w:t>
      </w:r>
      <w:r>
        <w:rPr>
          <w:rFonts w:hint="eastAsia" w:asciiTheme="majorEastAsia" w:hAnsiTheme="majorEastAsia" w:eastAsiaTheme="majorEastAsia"/>
          <w:szCs w:val="21"/>
        </w:rPr>
        <w:t>供应商登录“深圳政府采购智慧平台用户网上办事子系统（http://zfcg.szggzy.com/TPBidder/memberLogin）”，在“【我的项目】→【项目流程】→【质疑】”中提出质疑。</w:t>
      </w:r>
    </w:p>
    <w:p w14:paraId="72574F5B">
      <w:pPr>
        <w:spacing w:line="360" w:lineRule="auto"/>
        <w:ind w:firstLine="420" w:firstLineChars="200"/>
        <w:rPr>
          <w:rFonts w:asciiTheme="majorEastAsia" w:hAnsiTheme="majorEastAsia" w:eastAsiaTheme="majorEastAsia"/>
          <w:b/>
          <w:bCs/>
          <w:szCs w:val="21"/>
        </w:rPr>
      </w:pPr>
      <w:r>
        <w:rPr>
          <w:rFonts w:hint="eastAsia" w:asciiTheme="majorEastAsia" w:hAnsiTheme="majorEastAsia" w:eastAsiaTheme="majorEastAsia"/>
          <w:szCs w:val="21"/>
        </w:rPr>
        <w:t>5</w:t>
      </w:r>
      <w:r>
        <w:rPr>
          <w:rFonts w:asciiTheme="majorEastAsia" w:hAnsiTheme="majorEastAsia" w:eastAsiaTheme="majorEastAsia"/>
          <w:szCs w:val="21"/>
        </w:rPr>
        <w:t>2.5.2</w:t>
      </w:r>
      <w:r>
        <w:rPr>
          <w:rFonts w:hint="eastAsia" w:asciiTheme="majorEastAsia" w:hAnsiTheme="majorEastAsia" w:eastAsiaTheme="majorEastAsia"/>
          <w:szCs w:val="21"/>
        </w:rPr>
        <w:t>同时，请质疑供应商根据深圳政府采购智慧平台（http://zfcg.szggzy.com/）所发布的质疑指引、质疑函模板填写质疑函并提交质疑材料。</w:t>
      </w:r>
      <w:r>
        <w:rPr>
          <w:rFonts w:hint="eastAsia" w:asciiTheme="majorEastAsia" w:hAnsiTheme="majorEastAsia" w:eastAsiaTheme="majorEastAsia"/>
          <w:bCs/>
          <w:szCs w:val="21"/>
        </w:rPr>
        <w:t>地址：深圳市中正招标有限公司（深圳市福田区民田路171号新华保险大厦903），质疑咨询电话：0755-83026699。</w:t>
      </w:r>
    </w:p>
    <w:p w14:paraId="7682383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52.6收文办理</w:t>
      </w:r>
      <w:r>
        <w:rPr>
          <w:rFonts w:asciiTheme="majorEastAsia" w:hAnsiTheme="majorEastAsia" w:eastAsiaTheme="majorEastAsia"/>
          <w:szCs w:val="21"/>
        </w:rPr>
        <w:t>程序</w:t>
      </w:r>
    </w:p>
    <w:p w14:paraId="48A81AF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0FD6776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52.6.2供应商提交的质疑材料不符合质疑条件的，视情况处理：</w:t>
      </w:r>
    </w:p>
    <w:p w14:paraId="346AEF4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1D2D2AD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42946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6FBD7E8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5BECD44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390721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3B14097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7894837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3D597A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52.7质疑答复时限</w:t>
      </w:r>
    </w:p>
    <w:p w14:paraId="695EF9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02AC351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52.8投诉</w:t>
      </w:r>
    </w:p>
    <w:p w14:paraId="2D21F9B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89"/>
    </w:p>
    <w:p w14:paraId="04100A33">
      <w:pPr>
        <w:widowControl/>
        <w:jc w:val="left"/>
        <w:rPr>
          <w:rFonts w:ascii="宋体" w:hAnsi="宋体"/>
          <w:b/>
          <w:bCs/>
          <w:kern w:val="0"/>
          <w:sz w:val="24"/>
          <w:szCs w:val="20"/>
        </w:rPr>
      </w:pPr>
    </w:p>
    <w:sectPr>
      <w:pgSz w:w="11906" w:h="16838"/>
      <w:pgMar w:top="1440" w:right="1417" w:bottom="1440"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W1)">
    <w:altName w:val="Arial"/>
    <w:panose1 w:val="00000000000000000000"/>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38497"/>
    </w:sdtPr>
    <w:sdtContent>
      <w:p w14:paraId="744C42B3">
        <w:pPr>
          <w:pStyle w:val="28"/>
          <w:jc w:val="center"/>
        </w:pPr>
        <w:r>
          <w:fldChar w:fldCharType="begin"/>
        </w:r>
        <w:r>
          <w:instrText xml:space="preserve"> PAGE   \* MERGEFORMAT </w:instrText>
        </w:r>
        <w:r>
          <w:fldChar w:fldCharType="separate"/>
        </w:r>
        <w:r>
          <w:rPr>
            <w:lang w:val="zh-CN"/>
          </w:rPr>
          <w:t>12</w:t>
        </w:r>
        <w:r>
          <w:rPr>
            <w:lang w:val="zh-CN"/>
          </w:rPr>
          <w:fldChar w:fldCharType="end"/>
        </w:r>
      </w:p>
    </w:sdtContent>
  </w:sdt>
  <w:p w14:paraId="4AADD906">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正-李工">
    <w15:presenceInfo w15:providerId="None" w15:userId="中正-李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s>
  <w:rsids>
    <w:rsidRoot w:val="00103A86"/>
    <w:rsid w:val="00000F5F"/>
    <w:rsid w:val="00001526"/>
    <w:rsid w:val="00002B3E"/>
    <w:rsid w:val="000051FB"/>
    <w:rsid w:val="00010CD3"/>
    <w:rsid w:val="00010EAF"/>
    <w:rsid w:val="00013C6F"/>
    <w:rsid w:val="00013F11"/>
    <w:rsid w:val="00017B27"/>
    <w:rsid w:val="00017EF4"/>
    <w:rsid w:val="00020580"/>
    <w:rsid w:val="000210AC"/>
    <w:rsid w:val="000212B9"/>
    <w:rsid w:val="00026D62"/>
    <w:rsid w:val="0002760A"/>
    <w:rsid w:val="00031553"/>
    <w:rsid w:val="00033434"/>
    <w:rsid w:val="00035488"/>
    <w:rsid w:val="00041BD3"/>
    <w:rsid w:val="00043C69"/>
    <w:rsid w:val="00045D06"/>
    <w:rsid w:val="00047456"/>
    <w:rsid w:val="0005288D"/>
    <w:rsid w:val="00052AA5"/>
    <w:rsid w:val="00053282"/>
    <w:rsid w:val="00053E42"/>
    <w:rsid w:val="00054E39"/>
    <w:rsid w:val="00055F35"/>
    <w:rsid w:val="00056152"/>
    <w:rsid w:val="00057148"/>
    <w:rsid w:val="00072314"/>
    <w:rsid w:val="00072877"/>
    <w:rsid w:val="00076F21"/>
    <w:rsid w:val="00081E93"/>
    <w:rsid w:val="00084FFC"/>
    <w:rsid w:val="000878B9"/>
    <w:rsid w:val="00091185"/>
    <w:rsid w:val="00093911"/>
    <w:rsid w:val="00094626"/>
    <w:rsid w:val="0009519F"/>
    <w:rsid w:val="00097123"/>
    <w:rsid w:val="000A0AE2"/>
    <w:rsid w:val="000A1CCC"/>
    <w:rsid w:val="000A2349"/>
    <w:rsid w:val="000A2EEF"/>
    <w:rsid w:val="000B1F98"/>
    <w:rsid w:val="000B3600"/>
    <w:rsid w:val="000B4026"/>
    <w:rsid w:val="000B4402"/>
    <w:rsid w:val="000B4536"/>
    <w:rsid w:val="000B5D6F"/>
    <w:rsid w:val="000B7AEC"/>
    <w:rsid w:val="000B7D39"/>
    <w:rsid w:val="000C1237"/>
    <w:rsid w:val="000C2DF7"/>
    <w:rsid w:val="000C3C3C"/>
    <w:rsid w:val="000C6F22"/>
    <w:rsid w:val="000D1E66"/>
    <w:rsid w:val="000D2659"/>
    <w:rsid w:val="000D2792"/>
    <w:rsid w:val="000D3A8C"/>
    <w:rsid w:val="000D63EA"/>
    <w:rsid w:val="000D7062"/>
    <w:rsid w:val="000D7BB3"/>
    <w:rsid w:val="000E0B80"/>
    <w:rsid w:val="000E0FC1"/>
    <w:rsid w:val="000E1A4A"/>
    <w:rsid w:val="000F345B"/>
    <w:rsid w:val="000F37FF"/>
    <w:rsid w:val="000F3E6E"/>
    <w:rsid w:val="000F4129"/>
    <w:rsid w:val="000F5B06"/>
    <w:rsid w:val="000F5ECB"/>
    <w:rsid w:val="000F6BC0"/>
    <w:rsid w:val="000F74E0"/>
    <w:rsid w:val="000F7A75"/>
    <w:rsid w:val="000F7F8C"/>
    <w:rsid w:val="00100E4E"/>
    <w:rsid w:val="00101F69"/>
    <w:rsid w:val="00101F8B"/>
    <w:rsid w:val="00101F9D"/>
    <w:rsid w:val="00103A86"/>
    <w:rsid w:val="00105734"/>
    <w:rsid w:val="001069FB"/>
    <w:rsid w:val="00112114"/>
    <w:rsid w:val="001207E9"/>
    <w:rsid w:val="00123879"/>
    <w:rsid w:val="00123D47"/>
    <w:rsid w:val="00124153"/>
    <w:rsid w:val="00127F85"/>
    <w:rsid w:val="00132093"/>
    <w:rsid w:val="00135F8D"/>
    <w:rsid w:val="00136086"/>
    <w:rsid w:val="0013643E"/>
    <w:rsid w:val="00136A99"/>
    <w:rsid w:val="0013763C"/>
    <w:rsid w:val="0014134B"/>
    <w:rsid w:val="001429E4"/>
    <w:rsid w:val="001434C4"/>
    <w:rsid w:val="00144AF1"/>
    <w:rsid w:val="00144C0F"/>
    <w:rsid w:val="00146B6B"/>
    <w:rsid w:val="00154E01"/>
    <w:rsid w:val="0016001B"/>
    <w:rsid w:val="00161B46"/>
    <w:rsid w:val="00162A02"/>
    <w:rsid w:val="0016401E"/>
    <w:rsid w:val="00164645"/>
    <w:rsid w:val="00165097"/>
    <w:rsid w:val="001663AA"/>
    <w:rsid w:val="00166DC3"/>
    <w:rsid w:val="00172186"/>
    <w:rsid w:val="00173FA7"/>
    <w:rsid w:val="00174C42"/>
    <w:rsid w:val="00176757"/>
    <w:rsid w:val="001774EA"/>
    <w:rsid w:val="001779CB"/>
    <w:rsid w:val="00177D78"/>
    <w:rsid w:val="001829DD"/>
    <w:rsid w:val="00182C14"/>
    <w:rsid w:val="00182F93"/>
    <w:rsid w:val="00183E48"/>
    <w:rsid w:val="0018445D"/>
    <w:rsid w:val="00186C13"/>
    <w:rsid w:val="0019098F"/>
    <w:rsid w:val="00190E39"/>
    <w:rsid w:val="00192FA2"/>
    <w:rsid w:val="00195091"/>
    <w:rsid w:val="001A4688"/>
    <w:rsid w:val="001A6235"/>
    <w:rsid w:val="001A7B97"/>
    <w:rsid w:val="001A7E9F"/>
    <w:rsid w:val="001B0736"/>
    <w:rsid w:val="001B182A"/>
    <w:rsid w:val="001B23DF"/>
    <w:rsid w:val="001B3E1A"/>
    <w:rsid w:val="001B78B8"/>
    <w:rsid w:val="001B792B"/>
    <w:rsid w:val="001C2A95"/>
    <w:rsid w:val="001C3BC1"/>
    <w:rsid w:val="001D297A"/>
    <w:rsid w:val="001D532C"/>
    <w:rsid w:val="001E021F"/>
    <w:rsid w:val="001E5166"/>
    <w:rsid w:val="001E63A6"/>
    <w:rsid w:val="001E670C"/>
    <w:rsid w:val="001E7EC4"/>
    <w:rsid w:val="001F2756"/>
    <w:rsid w:val="001F5DBD"/>
    <w:rsid w:val="001F646F"/>
    <w:rsid w:val="001F7F91"/>
    <w:rsid w:val="00200342"/>
    <w:rsid w:val="00201237"/>
    <w:rsid w:val="00202335"/>
    <w:rsid w:val="00202D92"/>
    <w:rsid w:val="002034C2"/>
    <w:rsid w:val="00203AC5"/>
    <w:rsid w:val="00206F1A"/>
    <w:rsid w:val="002074CD"/>
    <w:rsid w:val="002108E8"/>
    <w:rsid w:val="002135F8"/>
    <w:rsid w:val="002157D2"/>
    <w:rsid w:val="00217A36"/>
    <w:rsid w:val="00217B3F"/>
    <w:rsid w:val="00220C5E"/>
    <w:rsid w:val="00222612"/>
    <w:rsid w:val="002300CF"/>
    <w:rsid w:val="00231DCF"/>
    <w:rsid w:val="00231E94"/>
    <w:rsid w:val="00231FB6"/>
    <w:rsid w:val="00234A66"/>
    <w:rsid w:val="002354A2"/>
    <w:rsid w:val="0023642F"/>
    <w:rsid w:val="002418AD"/>
    <w:rsid w:val="00241C2F"/>
    <w:rsid w:val="00243E8A"/>
    <w:rsid w:val="0024433A"/>
    <w:rsid w:val="002446DC"/>
    <w:rsid w:val="002452F6"/>
    <w:rsid w:val="002477F6"/>
    <w:rsid w:val="00247934"/>
    <w:rsid w:val="00252837"/>
    <w:rsid w:val="002531A5"/>
    <w:rsid w:val="00254756"/>
    <w:rsid w:val="00257FA9"/>
    <w:rsid w:val="002606E7"/>
    <w:rsid w:val="00260C60"/>
    <w:rsid w:val="002629C0"/>
    <w:rsid w:val="002652B4"/>
    <w:rsid w:val="00265F79"/>
    <w:rsid w:val="00267FC8"/>
    <w:rsid w:val="00270871"/>
    <w:rsid w:val="0027121B"/>
    <w:rsid w:val="0027312A"/>
    <w:rsid w:val="00273D6B"/>
    <w:rsid w:val="002753A8"/>
    <w:rsid w:val="0028241E"/>
    <w:rsid w:val="002867E0"/>
    <w:rsid w:val="00287E9E"/>
    <w:rsid w:val="00287F91"/>
    <w:rsid w:val="0029138D"/>
    <w:rsid w:val="00291B1B"/>
    <w:rsid w:val="00291D1C"/>
    <w:rsid w:val="00292956"/>
    <w:rsid w:val="002934B9"/>
    <w:rsid w:val="00293AB2"/>
    <w:rsid w:val="00294F5F"/>
    <w:rsid w:val="002952BC"/>
    <w:rsid w:val="0029679A"/>
    <w:rsid w:val="002968EA"/>
    <w:rsid w:val="002A19D6"/>
    <w:rsid w:val="002A1C9A"/>
    <w:rsid w:val="002A6A8D"/>
    <w:rsid w:val="002A73B4"/>
    <w:rsid w:val="002A7F40"/>
    <w:rsid w:val="002B1E2D"/>
    <w:rsid w:val="002B4848"/>
    <w:rsid w:val="002B73FC"/>
    <w:rsid w:val="002B763E"/>
    <w:rsid w:val="002C2B90"/>
    <w:rsid w:val="002C317D"/>
    <w:rsid w:val="002C3CEF"/>
    <w:rsid w:val="002C76FC"/>
    <w:rsid w:val="002D0555"/>
    <w:rsid w:val="002D175A"/>
    <w:rsid w:val="002D34A5"/>
    <w:rsid w:val="002D35C6"/>
    <w:rsid w:val="002D3FE3"/>
    <w:rsid w:val="002D5B4D"/>
    <w:rsid w:val="002D5F35"/>
    <w:rsid w:val="002E0E9F"/>
    <w:rsid w:val="002E2CA0"/>
    <w:rsid w:val="002E2D89"/>
    <w:rsid w:val="002E3119"/>
    <w:rsid w:val="002E424C"/>
    <w:rsid w:val="002E665D"/>
    <w:rsid w:val="002E6858"/>
    <w:rsid w:val="002E6BA0"/>
    <w:rsid w:val="002E737B"/>
    <w:rsid w:val="002F01F4"/>
    <w:rsid w:val="002F4F2E"/>
    <w:rsid w:val="002F6879"/>
    <w:rsid w:val="002F7C97"/>
    <w:rsid w:val="003006BF"/>
    <w:rsid w:val="003008B6"/>
    <w:rsid w:val="00300B8A"/>
    <w:rsid w:val="0030199B"/>
    <w:rsid w:val="00304669"/>
    <w:rsid w:val="003134D0"/>
    <w:rsid w:val="0031455C"/>
    <w:rsid w:val="003150EF"/>
    <w:rsid w:val="00315CA6"/>
    <w:rsid w:val="0031688D"/>
    <w:rsid w:val="0032060F"/>
    <w:rsid w:val="0032136F"/>
    <w:rsid w:val="0032158E"/>
    <w:rsid w:val="00321C26"/>
    <w:rsid w:val="00321D49"/>
    <w:rsid w:val="00323BF8"/>
    <w:rsid w:val="003274C9"/>
    <w:rsid w:val="00334DFC"/>
    <w:rsid w:val="00335B69"/>
    <w:rsid w:val="00335E1F"/>
    <w:rsid w:val="00340269"/>
    <w:rsid w:val="00341462"/>
    <w:rsid w:val="00343947"/>
    <w:rsid w:val="00343D25"/>
    <w:rsid w:val="00344E31"/>
    <w:rsid w:val="0034602D"/>
    <w:rsid w:val="0034731C"/>
    <w:rsid w:val="00350D9C"/>
    <w:rsid w:val="00352073"/>
    <w:rsid w:val="003520D2"/>
    <w:rsid w:val="00353324"/>
    <w:rsid w:val="0035334F"/>
    <w:rsid w:val="00353C2B"/>
    <w:rsid w:val="003541EA"/>
    <w:rsid w:val="00355255"/>
    <w:rsid w:val="00355BAA"/>
    <w:rsid w:val="0035786E"/>
    <w:rsid w:val="003604E6"/>
    <w:rsid w:val="00362824"/>
    <w:rsid w:val="00362A3B"/>
    <w:rsid w:val="00364E19"/>
    <w:rsid w:val="0036526C"/>
    <w:rsid w:val="00366D19"/>
    <w:rsid w:val="00366E70"/>
    <w:rsid w:val="00370FA1"/>
    <w:rsid w:val="00381E45"/>
    <w:rsid w:val="00383F0B"/>
    <w:rsid w:val="00385398"/>
    <w:rsid w:val="003861CD"/>
    <w:rsid w:val="00386BE2"/>
    <w:rsid w:val="003909B8"/>
    <w:rsid w:val="00391C88"/>
    <w:rsid w:val="00395A00"/>
    <w:rsid w:val="0039674E"/>
    <w:rsid w:val="003A2F53"/>
    <w:rsid w:val="003A61C9"/>
    <w:rsid w:val="003A7BDB"/>
    <w:rsid w:val="003B1518"/>
    <w:rsid w:val="003B477B"/>
    <w:rsid w:val="003B5360"/>
    <w:rsid w:val="003C1A26"/>
    <w:rsid w:val="003C2295"/>
    <w:rsid w:val="003C3E40"/>
    <w:rsid w:val="003C5B3E"/>
    <w:rsid w:val="003D1B12"/>
    <w:rsid w:val="003D2340"/>
    <w:rsid w:val="003D23B8"/>
    <w:rsid w:val="003D2828"/>
    <w:rsid w:val="003D2EFA"/>
    <w:rsid w:val="003D3346"/>
    <w:rsid w:val="003D408D"/>
    <w:rsid w:val="003D6CD3"/>
    <w:rsid w:val="003E3B27"/>
    <w:rsid w:val="003E51D5"/>
    <w:rsid w:val="003E77F1"/>
    <w:rsid w:val="003E7AB6"/>
    <w:rsid w:val="003F1407"/>
    <w:rsid w:val="003F41FE"/>
    <w:rsid w:val="003F5834"/>
    <w:rsid w:val="003F5E4A"/>
    <w:rsid w:val="003F7201"/>
    <w:rsid w:val="003F7FB5"/>
    <w:rsid w:val="00401E20"/>
    <w:rsid w:val="0040345C"/>
    <w:rsid w:val="00406FB6"/>
    <w:rsid w:val="0041065D"/>
    <w:rsid w:val="004107D9"/>
    <w:rsid w:val="00411AFE"/>
    <w:rsid w:val="00412446"/>
    <w:rsid w:val="00415BBF"/>
    <w:rsid w:val="00415C66"/>
    <w:rsid w:val="00415D20"/>
    <w:rsid w:val="00416664"/>
    <w:rsid w:val="00422275"/>
    <w:rsid w:val="004235A4"/>
    <w:rsid w:val="00424FD5"/>
    <w:rsid w:val="004268C7"/>
    <w:rsid w:val="00436747"/>
    <w:rsid w:val="00436823"/>
    <w:rsid w:val="00436D0E"/>
    <w:rsid w:val="0043714D"/>
    <w:rsid w:val="00437813"/>
    <w:rsid w:val="0044288C"/>
    <w:rsid w:val="0044387F"/>
    <w:rsid w:val="00444F45"/>
    <w:rsid w:val="00452496"/>
    <w:rsid w:val="00457241"/>
    <w:rsid w:val="00457969"/>
    <w:rsid w:val="00470214"/>
    <w:rsid w:val="004702A4"/>
    <w:rsid w:val="00470AC3"/>
    <w:rsid w:val="00470DDE"/>
    <w:rsid w:val="00473BFB"/>
    <w:rsid w:val="00476ABF"/>
    <w:rsid w:val="00481615"/>
    <w:rsid w:val="0048258B"/>
    <w:rsid w:val="004836AC"/>
    <w:rsid w:val="00484215"/>
    <w:rsid w:val="00484D26"/>
    <w:rsid w:val="00484DBE"/>
    <w:rsid w:val="004858C0"/>
    <w:rsid w:val="004861CC"/>
    <w:rsid w:val="004867C3"/>
    <w:rsid w:val="00490CC8"/>
    <w:rsid w:val="0049604C"/>
    <w:rsid w:val="00496A0A"/>
    <w:rsid w:val="004972E7"/>
    <w:rsid w:val="004A2765"/>
    <w:rsid w:val="004A4F5D"/>
    <w:rsid w:val="004A5C8C"/>
    <w:rsid w:val="004A60AC"/>
    <w:rsid w:val="004A667C"/>
    <w:rsid w:val="004A6E9C"/>
    <w:rsid w:val="004B3843"/>
    <w:rsid w:val="004B3A3A"/>
    <w:rsid w:val="004B60AE"/>
    <w:rsid w:val="004B6178"/>
    <w:rsid w:val="004B757E"/>
    <w:rsid w:val="004B7C51"/>
    <w:rsid w:val="004C1ACC"/>
    <w:rsid w:val="004C31CC"/>
    <w:rsid w:val="004C40D7"/>
    <w:rsid w:val="004C5625"/>
    <w:rsid w:val="004C5ED6"/>
    <w:rsid w:val="004D02D0"/>
    <w:rsid w:val="004D04CE"/>
    <w:rsid w:val="004D08F6"/>
    <w:rsid w:val="004D536D"/>
    <w:rsid w:val="004D5953"/>
    <w:rsid w:val="004E0C6E"/>
    <w:rsid w:val="004E3678"/>
    <w:rsid w:val="004E39F1"/>
    <w:rsid w:val="004E48A7"/>
    <w:rsid w:val="004F18FA"/>
    <w:rsid w:val="004F3B85"/>
    <w:rsid w:val="004F5425"/>
    <w:rsid w:val="004F5B29"/>
    <w:rsid w:val="004F7FD4"/>
    <w:rsid w:val="00502B0E"/>
    <w:rsid w:val="00502F84"/>
    <w:rsid w:val="00505EE2"/>
    <w:rsid w:val="00507DFF"/>
    <w:rsid w:val="0051248B"/>
    <w:rsid w:val="005168DE"/>
    <w:rsid w:val="00521293"/>
    <w:rsid w:val="00523ABC"/>
    <w:rsid w:val="00523BC1"/>
    <w:rsid w:val="005244EE"/>
    <w:rsid w:val="00524C0B"/>
    <w:rsid w:val="005275BC"/>
    <w:rsid w:val="005276AA"/>
    <w:rsid w:val="00530F6C"/>
    <w:rsid w:val="00531FE5"/>
    <w:rsid w:val="00532F7C"/>
    <w:rsid w:val="00535553"/>
    <w:rsid w:val="0053625D"/>
    <w:rsid w:val="0053628E"/>
    <w:rsid w:val="00536989"/>
    <w:rsid w:val="005375BF"/>
    <w:rsid w:val="00537D2D"/>
    <w:rsid w:val="00540E25"/>
    <w:rsid w:val="00541552"/>
    <w:rsid w:val="00545707"/>
    <w:rsid w:val="005473DF"/>
    <w:rsid w:val="00547E43"/>
    <w:rsid w:val="0055051A"/>
    <w:rsid w:val="00550D1C"/>
    <w:rsid w:val="005567C6"/>
    <w:rsid w:val="00556EB7"/>
    <w:rsid w:val="0055768A"/>
    <w:rsid w:val="00560F57"/>
    <w:rsid w:val="005620A7"/>
    <w:rsid w:val="005625D5"/>
    <w:rsid w:val="0056570D"/>
    <w:rsid w:val="00565ED8"/>
    <w:rsid w:val="00566BD4"/>
    <w:rsid w:val="00570797"/>
    <w:rsid w:val="00572443"/>
    <w:rsid w:val="0057724E"/>
    <w:rsid w:val="0058063A"/>
    <w:rsid w:val="005808E0"/>
    <w:rsid w:val="0058149B"/>
    <w:rsid w:val="0058192B"/>
    <w:rsid w:val="00581E11"/>
    <w:rsid w:val="00582367"/>
    <w:rsid w:val="00584A24"/>
    <w:rsid w:val="00585EC1"/>
    <w:rsid w:val="00586704"/>
    <w:rsid w:val="0059128B"/>
    <w:rsid w:val="005946C7"/>
    <w:rsid w:val="00595CFA"/>
    <w:rsid w:val="005A46D8"/>
    <w:rsid w:val="005A51D2"/>
    <w:rsid w:val="005A7BB6"/>
    <w:rsid w:val="005A7CB9"/>
    <w:rsid w:val="005B62D6"/>
    <w:rsid w:val="005D3725"/>
    <w:rsid w:val="005D4FDB"/>
    <w:rsid w:val="005D6295"/>
    <w:rsid w:val="005D6659"/>
    <w:rsid w:val="005D7AF6"/>
    <w:rsid w:val="005E2FAA"/>
    <w:rsid w:val="005E3D64"/>
    <w:rsid w:val="005E45FD"/>
    <w:rsid w:val="005E5841"/>
    <w:rsid w:val="005E5D0E"/>
    <w:rsid w:val="005E6167"/>
    <w:rsid w:val="005F1472"/>
    <w:rsid w:val="005F1B11"/>
    <w:rsid w:val="005F22E2"/>
    <w:rsid w:val="005F2EDA"/>
    <w:rsid w:val="005F318E"/>
    <w:rsid w:val="005F6695"/>
    <w:rsid w:val="006049A0"/>
    <w:rsid w:val="00606E3B"/>
    <w:rsid w:val="00607E8A"/>
    <w:rsid w:val="0061141D"/>
    <w:rsid w:val="006137C4"/>
    <w:rsid w:val="00615160"/>
    <w:rsid w:val="006154A6"/>
    <w:rsid w:val="00615993"/>
    <w:rsid w:val="00615BEC"/>
    <w:rsid w:val="00616062"/>
    <w:rsid w:val="00620A11"/>
    <w:rsid w:val="00621149"/>
    <w:rsid w:val="00624B9B"/>
    <w:rsid w:val="0062508B"/>
    <w:rsid w:val="00625CB7"/>
    <w:rsid w:val="00630B07"/>
    <w:rsid w:val="0063464A"/>
    <w:rsid w:val="00636B52"/>
    <w:rsid w:val="00641F0A"/>
    <w:rsid w:val="006421A8"/>
    <w:rsid w:val="00642BA7"/>
    <w:rsid w:val="00643C1D"/>
    <w:rsid w:val="00643E89"/>
    <w:rsid w:val="00645D4B"/>
    <w:rsid w:val="00646407"/>
    <w:rsid w:val="00651051"/>
    <w:rsid w:val="0065448C"/>
    <w:rsid w:val="0066244E"/>
    <w:rsid w:val="00665DD7"/>
    <w:rsid w:val="006662BB"/>
    <w:rsid w:val="00667476"/>
    <w:rsid w:val="00670CB9"/>
    <w:rsid w:val="006737C8"/>
    <w:rsid w:val="00675289"/>
    <w:rsid w:val="00675810"/>
    <w:rsid w:val="00677A79"/>
    <w:rsid w:val="00681216"/>
    <w:rsid w:val="006835C3"/>
    <w:rsid w:val="00685854"/>
    <w:rsid w:val="00685E9E"/>
    <w:rsid w:val="00686EE7"/>
    <w:rsid w:val="00687212"/>
    <w:rsid w:val="00690397"/>
    <w:rsid w:val="00692281"/>
    <w:rsid w:val="00693711"/>
    <w:rsid w:val="00694D5D"/>
    <w:rsid w:val="006951CF"/>
    <w:rsid w:val="006958C0"/>
    <w:rsid w:val="00696A4E"/>
    <w:rsid w:val="006971BC"/>
    <w:rsid w:val="006A0193"/>
    <w:rsid w:val="006A13AC"/>
    <w:rsid w:val="006A5182"/>
    <w:rsid w:val="006A5DC8"/>
    <w:rsid w:val="006A65A7"/>
    <w:rsid w:val="006A664E"/>
    <w:rsid w:val="006B098C"/>
    <w:rsid w:val="006B2978"/>
    <w:rsid w:val="006B311A"/>
    <w:rsid w:val="006B315C"/>
    <w:rsid w:val="006B3FF4"/>
    <w:rsid w:val="006C1B57"/>
    <w:rsid w:val="006C1F3B"/>
    <w:rsid w:val="006C2072"/>
    <w:rsid w:val="006C23B9"/>
    <w:rsid w:val="006C3731"/>
    <w:rsid w:val="006D0CCD"/>
    <w:rsid w:val="006D1972"/>
    <w:rsid w:val="006D1F18"/>
    <w:rsid w:val="006D25B3"/>
    <w:rsid w:val="006D4071"/>
    <w:rsid w:val="006D5736"/>
    <w:rsid w:val="006D6578"/>
    <w:rsid w:val="006E168A"/>
    <w:rsid w:val="006E38C9"/>
    <w:rsid w:val="006E459D"/>
    <w:rsid w:val="006E5EAA"/>
    <w:rsid w:val="006E699A"/>
    <w:rsid w:val="006E74F5"/>
    <w:rsid w:val="006E78BD"/>
    <w:rsid w:val="006E791B"/>
    <w:rsid w:val="006F03E1"/>
    <w:rsid w:val="006F1766"/>
    <w:rsid w:val="006F6C4C"/>
    <w:rsid w:val="0070084E"/>
    <w:rsid w:val="0070351A"/>
    <w:rsid w:val="007103FD"/>
    <w:rsid w:val="00710F8C"/>
    <w:rsid w:val="00711729"/>
    <w:rsid w:val="00712A61"/>
    <w:rsid w:val="0071385C"/>
    <w:rsid w:val="00714DCA"/>
    <w:rsid w:val="007204DB"/>
    <w:rsid w:val="007207C9"/>
    <w:rsid w:val="0072168E"/>
    <w:rsid w:val="00722FBA"/>
    <w:rsid w:val="007241B3"/>
    <w:rsid w:val="007248F4"/>
    <w:rsid w:val="00724CB4"/>
    <w:rsid w:val="007263ED"/>
    <w:rsid w:val="00726A25"/>
    <w:rsid w:val="00727DFE"/>
    <w:rsid w:val="0073340D"/>
    <w:rsid w:val="007338AF"/>
    <w:rsid w:val="00737FB5"/>
    <w:rsid w:val="007403FC"/>
    <w:rsid w:val="00742F00"/>
    <w:rsid w:val="007437B8"/>
    <w:rsid w:val="00750911"/>
    <w:rsid w:val="00751F91"/>
    <w:rsid w:val="00757318"/>
    <w:rsid w:val="00760BD7"/>
    <w:rsid w:val="007613A2"/>
    <w:rsid w:val="00761C29"/>
    <w:rsid w:val="00763C5A"/>
    <w:rsid w:val="0076737B"/>
    <w:rsid w:val="00767F62"/>
    <w:rsid w:val="007722E5"/>
    <w:rsid w:val="00772474"/>
    <w:rsid w:val="0077351D"/>
    <w:rsid w:val="007746D6"/>
    <w:rsid w:val="00774778"/>
    <w:rsid w:val="0077772B"/>
    <w:rsid w:val="00777A80"/>
    <w:rsid w:val="00781154"/>
    <w:rsid w:val="00784499"/>
    <w:rsid w:val="00785645"/>
    <w:rsid w:val="0078577D"/>
    <w:rsid w:val="0078579D"/>
    <w:rsid w:val="007868DA"/>
    <w:rsid w:val="00787860"/>
    <w:rsid w:val="00792740"/>
    <w:rsid w:val="007957D3"/>
    <w:rsid w:val="00795CB4"/>
    <w:rsid w:val="007A2C8D"/>
    <w:rsid w:val="007A3488"/>
    <w:rsid w:val="007A46F2"/>
    <w:rsid w:val="007A511E"/>
    <w:rsid w:val="007A6441"/>
    <w:rsid w:val="007B0C04"/>
    <w:rsid w:val="007B16E8"/>
    <w:rsid w:val="007B1B17"/>
    <w:rsid w:val="007B2FB1"/>
    <w:rsid w:val="007B536E"/>
    <w:rsid w:val="007B57D9"/>
    <w:rsid w:val="007B6E38"/>
    <w:rsid w:val="007B7801"/>
    <w:rsid w:val="007C0B15"/>
    <w:rsid w:val="007C0FCA"/>
    <w:rsid w:val="007C2928"/>
    <w:rsid w:val="007C2C9B"/>
    <w:rsid w:val="007C4BFF"/>
    <w:rsid w:val="007C65F9"/>
    <w:rsid w:val="007C6CEB"/>
    <w:rsid w:val="007D1AB6"/>
    <w:rsid w:val="007D3423"/>
    <w:rsid w:val="007D35D5"/>
    <w:rsid w:val="007D5EFB"/>
    <w:rsid w:val="007E0D64"/>
    <w:rsid w:val="007E1313"/>
    <w:rsid w:val="007E3305"/>
    <w:rsid w:val="007E360C"/>
    <w:rsid w:val="007E41F2"/>
    <w:rsid w:val="007E45EA"/>
    <w:rsid w:val="007E4FA0"/>
    <w:rsid w:val="007E4FC3"/>
    <w:rsid w:val="007E6F50"/>
    <w:rsid w:val="007E79DF"/>
    <w:rsid w:val="007F3D14"/>
    <w:rsid w:val="007F46C5"/>
    <w:rsid w:val="007F6FC7"/>
    <w:rsid w:val="008031DA"/>
    <w:rsid w:val="00803DCC"/>
    <w:rsid w:val="00805099"/>
    <w:rsid w:val="00805780"/>
    <w:rsid w:val="00810F1A"/>
    <w:rsid w:val="00813E8D"/>
    <w:rsid w:val="00815984"/>
    <w:rsid w:val="00816D32"/>
    <w:rsid w:val="00817229"/>
    <w:rsid w:val="008201D8"/>
    <w:rsid w:val="00823940"/>
    <w:rsid w:val="00824CF8"/>
    <w:rsid w:val="00825A27"/>
    <w:rsid w:val="00826371"/>
    <w:rsid w:val="0083068F"/>
    <w:rsid w:val="00830D96"/>
    <w:rsid w:val="00835502"/>
    <w:rsid w:val="008401C6"/>
    <w:rsid w:val="00842565"/>
    <w:rsid w:val="00844024"/>
    <w:rsid w:val="0084498D"/>
    <w:rsid w:val="00850637"/>
    <w:rsid w:val="00852FDF"/>
    <w:rsid w:val="00853528"/>
    <w:rsid w:val="008554F3"/>
    <w:rsid w:val="0086173E"/>
    <w:rsid w:val="00861A6D"/>
    <w:rsid w:val="00864900"/>
    <w:rsid w:val="008650CC"/>
    <w:rsid w:val="00871284"/>
    <w:rsid w:val="00871A7E"/>
    <w:rsid w:val="00874608"/>
    <w:rsid w:val="008757E7"/>
    <w:rsid w:val="008758EA"/>
    <w:rsid w:val="0087603B"/>
    <w:rsid w:val="0087661F"/>
    <w:rsid w:val="00876C1D"/>
    <w:rsid w:val="008806FF"/>
    <w:rsid w:val="00880868"/>
    <w:rsid w:val="008852FB"/>
    <w:rsid w:val="00885781"/>
    <w:rsid w:val="008905B7"/>
    <w:rsid w:val="00894190"/>
    <w:rsid w:val="008952AD"/>
    <w:rsid w:val="008968CE"/>
    <w:rsid w:val="00896E4B"/>
    <w:rsid w:val="00897C06"/>
    <w:rsid w:val="008A18E2"/>
    <w:rsid w:val="008A245F"/>
    <w:rsid w:val="008A3246"/>
    <w:rsid w:val="008A4CD7"/>
    <w:rsid w:val="008A6376"/>
    <w:rsid w:val="008A6815"/>
    <w:rsid w:val="008A6A96"/>
    <w:rsid w:val="008B0FE3"/>
    <w:rsid w:val="008B2A24"/>
    <w:rsid w:val="008B313A"/>
    <w:rsid w:val="008B412C"/>
    <w:rsid w:val="008B4C51"/>
    <w:rsid w:val="008B702D"/>
    <w:rsid w:val="008B7AC3"/>
    <w:rsid w:val="008C23F3"/>
    <w:rsid w:val="008C34E9"/>
    <w:rsid w:val="008C463B"/>
    <w:rsid w:val="008C6DFC"/>
    <w:rsid w:val="008C70E8"/>
    <w:rsid w:val="008C795C"/>
    <w:rsid w:val="008D03C4"/>
    <w:rsid w:val="008D2228"/>
    <w:rsid w:val="008D33E3"/>
    <w:rsid w:val="008D3709"/>
    <w:rsid w:val="008D59DB"/>
    <w:rsid w:val="008D5E13"/>
    <w:rsid w:val="008E461E"/>
    <w:rsid w:val="008E514D"/>
    <w:rsid w:val="008E5A20"/>
    <w:rsid w:val="008E5ABA"/>
    <w:rsid w:val="008E6C98"/>
    <w:rsid w:val="008E784D"/>
    <w:rsid w:val="008E7A67"/>
    <w:rsid w:val="008E7C1B"/>
    <w:rsid w:val="008F0E38"/>
    <w:rsid w:val="008F1CB5"/>
    <w:rsid w:val="008F26F6"/>
    <w:rsid w:val="008F4025"/>
    <w:rsid w:val="008F48EA"/>
    <w:rsid w:val="008F6908"/>
    <w:rsid w:val="00910984"/>
    <w:rsid w:val="00911492"/>
    <w:rsid w:val="00911682"/>
    <w:rsid w:val="00911DA3"/>
    <w:rsid w:val="009148F9"/>
    <w:rsid w:val="009154BF"/>
    <w:rsid w:val="0091643D"/>
    <w:rsid w:val="009164A3"/>
    <w:rsid w:val="009164D4"/>
    <w:rsid w:val="00921D32"/>
    <w:rsid w:val="00924D9E"/>
    <w:rsid w:val="00927D9D"/>
    <w:rsid w:val="0093398E"/>
    <w:rsid w:val="0093468D"/>
    <w:rsid w:val="0093724D"/>
    <w:rsid w:val="00942B7F"/>
    <w:rsid w:val="00942D0C"/>
    <w:rsid w:val="00945B5C"/>
    <w:rsid w:val="00946FC2"/>
    <w:rsid w:val="00951232"/>
    <w:rsid w:val="00951278"/>
    <w:rsid w:val="0095651E"/>
    <w:rsid w:val="00956A14"/>
    <w:rsid w:val="00961CE9"/>
    <w:rsid w:val="0096217D"/>
    <w:rsid w:val="009625A5"/>
    <w:rsid w:val="0096260A"/>
    <w:rsid w:val="00962B14"/>
    <w:rsid w:val="00962E16"/>
    <w:rsid w:val="009645EB"/>
    <w:rsid w:val="009646FC"/>
    <w:rsid w:val="00964F3E"/>
    <w:rsid w:val="00965D54"/>
    <w:rsid w:val="00970451"/>
    <w:rsid w:val="00971A14"/>
    <w:rsid w:val="00971B37"/>
    <w:rsid w:val="00974DB1"/>
    <w:rsid w:val="00975251"/>
    <w:rsid w:val="00975F55"/>
    <w:rsid w:val="0097677D"/>
    <w:rsid w:val="009767FD"/>
    <w:rsid w:val="00976FD1"/>
    <w:rsid w:val="009823CC"/>
    <w:rsid w:val="009824C2"/>
    <w:rsid w:val="009829EA"/>
    <w:rsid w:val="00984F4C"/>
    <w:rsid w:val="0098594E"/>
    <w:rsid w:val="009862D5"/>
    <w:rsid w:val="00987F57"/>
    <w:rsid w:val="00991492"/>
    <w:rsid w:val="00993BA7"/>
    <w:rsid w:val="00993F6B"/>
    <w:rsid w:val="00994092"/>
    <w:rsid w:val="009945C9"/>
    <w:rsid w:val="009A1A18"/>
    <w:rsid w:val="009A2405"/>
    <w:rsid w:val="009A4A1B"/>
    <w:rsid w:val="009A5506"/>
    <w:rsid w:val="009A575C"/>
    <w:rsid w:val="009A5C84"/>
    <w:rsid w:val="009A5DBB"/>
    <w:rsid w:val="009A7347"/>
    <w:rsid w:val="009B20DA"/>
    <w:rsid w:val="009B2C44"/>
    <w:rsid w:val="009B2E95"/>
    <w:rsid w:val="009B31DF"/>
    <w:rsid w:val="009B3BCB"/>
    <w:rsid w:val="009B3F58"/>
    <w:rsid w:val="009B44D9"/>
    <w:rsid w:val="009B6C5A"/>
    <w:rsid w:val="009B75D4"/>
    <w:rsid w:val="009B796A"/>
    <w:rsid w:val="009C47A8"/>
    <w:rsid w:val="009C5A01"/>
    <w:rsid w:val="009C6BEE"/>
    <w:rsid w:val="009D008F"/>
    <w:rsid w:val="009E1E90"/>
    <w:rsid w:val="009E4659"/>
    <w:rsid w:val="009E524D"/>
    <w:rsid w:val="009E5E7B"/>
    <w:rsid w:val="009F50AA"/>
    <w:rsid w:val="009F6192"/>
    <w:rsid w:val="009F61F2"/>
    <w:rsid w:val="00A046B8"/>
    <w:rsid w:val="00A06315"/>
    <w:rsid w:val="00A135C4"/>
    <w:rsid w:val="00A15F48"/>
    <w:rsid w:val="00A165CA"/>
    <w:rsid w:val="00A16CD2"/>
    <w:rsid w:val="00A179C9"/>
    <w:rsid w:val="00A2298A"/>
    <w:rsid w:val="00A23112"/>
    <w:rsid w:val="00A24E5D"/>
    <w:rsid w:val="00A30926"/>
    <w:rsid w:val="00A31C76"/>
    <w:rsid w:val="00A3623B"/>
    <w:rsid w:val="00A363A7"/>
    <w:rsid w:val="00A36CE5"/>
    <w:rsid w:val="00A40E23"/>
    <w:rsid w:val="00A414F5"/>
    <w:rsid w:val="00A41F98"/>
    <w:rsid w:val="00A45E98"/>
    <w:rsid w:val="00A466B9"/>
    <w:rsid w:val="00A46E0F"/>
    <w:rsid w:val="00A47E53"/>
    <w:rsid w:val="00A5057C"/>
    <w:rsid w:val="00A51A77"/>
    <w:rsid w:val="00A55AA5"/>
    <w:rsid w:val="00A613D3"/>
    <w:rsid w:val="00A6151F"/>
    <w:rsid w:val="00A61FD0"/>
    <w:rsid w:val="00A62D92"/>
    <w:rsid w:val="00A650F4"/>
    <w:rsid w:val="00A71542"/>
    <w:rsid w:val="00A715B4"/>
    <w:rsid w:val="00A71CF1"/>
    <w:rsid w:val="00A72B3B"/>
    <w:rsid w:val="00A72C03"/>
    <w:rsid w:val="00A737AF"/>
    <w:rsid w:val="00A76EDB"/>
    <w:rsid w:val="00A77F8F"/>
    <w:rsid w:val="00A80814"/>
    <w:rsid w:val="00A820E0"/>
    <w:rsid w:val="00A828E5"/>
    <w:rsid w:val="00A83E8C"/>
    <w:rsid w:val="00A845EF"/>
    <w:rsid w:val="00A84D4E"/>
    <w:rsid w:val="00A86931"/>
    <w:rsid w:val="00A90FA1"/>
    <w:rsid w:val="00A9242B"/>
    <w:rsid w:val="00A930DF"/>
    <w:rsid w:val="00A9362A"/>
    <w:rsid w:val="00A93712"/>
    <w:rsid w:val="00A96317"/>
    <w:rsid w:val="00AA05B1"/>
    <w:rsid w:val="00AA20B5"/>
    <w:rsid w:val="00AA2512"/>
    <w:rsid w:val="00AA4713"/>
    <w:rsid w:val="00AA71F7"/>
    <w:rsid w:val="00AA7419"/>
    <w:rsid w:val="00AB07B7"/>
    <w:rsid w:val="00AB0A6B"/>
    <w:rsid w:val="00AB0BB7"/>
    <w:rsid w:val="00AB1E4D"/>
    <w:rsid w:val="00AB3121"/>
    <w:rsid w:val="00AB3792"/>
    <w:rsid w:val="00AB5B89"/>
    <w:rsid w:val="00AB797B"/>
    <w:rsid w:val="00AC1E2C"/>
    <w:rsid w:val="00AC52C7"/>
    <w:rsid w:val="00AC570F"/>
    <w:rsid w:val="00AC77B1"/>
    <w:rsid w:val="00AD3124"/>
    <w:rsid w:val="00AD3630"/>
    <w:rsid w:val="00AD3A5A"/>
    <w:rsid w:val="00AD3C25"/>
    <w:rsid w:val="00AD6E58"/>
    <w:rsid w:val="00AE0A28"/>
    <w:rsid w:val="00AE3B8E"/>
    <w:rsid w:val="00AE49D4"/>
    <w:rsid w:val="00AE540F"/>
    <w:rsid w:val="00AE6484"/>
    <w:rsid w:val="00AE6968"/>
    <w:rsid w:val="00AF022E"/>
    <w:rsid w:val="00AF09B0"/>
    <w:rsid w:val="00AF43BC"/>
    <w:rsid w:val="00AF53A7"/>
    <w:rsid w:val="00AF54ED"/>
    <w:rsid w:val="00AF55B9"/>
    <w:rsid w:val="00AF5C48"/>
    <w:rsid w:val="00AF65F4"/>
    <w:rsid w:val="00B00A16"/>
    <w:rsid w:val="00B03275"/>
    <w:rsid w:val="00B03545"/>
    <w:rsid w:val="00B04A54"/>
    <w:rsid w:val="00B04CBE"/>
    <w:rsid w:val="00B07B88"/>
    <w:rsid w:val="00B12748"/>
    <w:rsid w:val="00B14CC3"/>
    <w:rsid w:val="00B16A32"/>
    <w:rsid w:val="00B16C43"/>
    <w:rsid w:val="00B2009D"/>
    <w:rsid w:val="00B214B6"/>
    <w:rsid w:val="00B2209E"/>
    <w:rsid w:val="00B229DE"/>
    <w:rsid w:val="00B22D54"/>
    <w:rsid w:val="00B23BB3"/>
    <w:rsid w:val="00B23EF9"/>
    <w:rsid w:val="00B25288"/>
    <w:rsid w:val="00B25D8A"/>
    <w:rsid w:val="00B25E6A"/>
    <w:rsid w:val="00B322B8"/>
    <w:rsid w:val="00B33FAA"/>
    <w:rsid w:val="00B35561"/>
    <w:rsid w:val="00B3679B"/>
    <w:rsid w:val="00B37C6A"/>
    <w:rsid w:val="00B412C9"/>
    <w:rsid w:val="00B452AF"/>
    <w:rsid w:val="00B4786E"/>
    <w:rsid w:val="00B5054B"/>
    <w:rsid w:val="00B51BEA"/>
    <w:rsid w:val="00B5286A"/>
    <w:rsid w:val="00B541FC"/>
    <w:rsid w:val="00B54B06"/>
    <w:rsid w:val="00B55F22"/>
    <w:rsid w:val="00B604E9"/>
    <w:rsid w:val="00B62507"/>
    <w:rsid w:val="00B62607"/>
    <w:rsid w:val="00B6481E"/>
    <w:rsid w:val="00B665C6"/>
    <w:rsid w:val="00B73168"/>
    <w:rsid w:val="00B76200"/>
    <w:rsid w:val="00B766AC"/>
    <w:rsid w:val="00B82DDF"/>
    <w:rsid w:val="00B85675"/>
    <w:rsid w:val="00B8687B"/>
    <w:rsid w:val="00B86EC6"/>
    <w:rsid w:val="00B90675"/>
    <w:rsid w:val="00B95C50"/>
    <w:rsid w:val="00B97F02"/>
    <w:rsid w:val="00BA0296"/>
    <w:rsid w:val="00BA1D47"/>
    <w:rsid w:val="00BA2D8B"/>
    <w:rsid w:val="00BA4FAC"/>
    <w:rsid w:val="00BA5078"/>
    <w:rsid w:val="00BA5264"/>
    <w:rsid w:val="00BA583B"/>
    <w:rsid w:val="00BA6294"/>
    <w:rsid w:val="00BA67B9"/>
    <w:rsid w:val="00BA6C73"/>
    <w:rsid w:val="00BB081F"/>
    <w:rsid w:val="00BB3E50"/>
    <w:rsid w:val="00BB6660"/>
    <w:rsid w:val="00BB7087"/>
    <w:rsid w:val="00BC094F"/>
    <w:rsid w:val="00BC0D39"/>
    <w:rsid w:val="00BC460E"/>
    <w:rsid w:val="00BC4799"/>
    <w:rsid w:val="00BC4F92"/>
    <w:rsid w:val="00BC5F98"/>
    <w:rsid w:val="00BC5FB4"/>
    <w:rsid w:val="00BC63F6"/>
    <w:rsid w:val="00BC708E"/>
    <w:rsid w:val="00BC79E7"/>
    <w:rsid w:val="00BD1E2D"/>
    <w:rsid w:val="00BD3721"/>
    <w:rsid w:val="00BE0AE2"/>
    <w:rsid w:val="00BE1825"/>
    <w:rsid w:val="00BE32D8"/>
    <w:rsid w:val="00BE49A5"/>
    <w:rsid w:val="00BE642B"/>
    <w:rsid w:val="00BE6BB9"/>
    <w:rsid w:val="00BE7EEF"/>
    <w:rsid w:val="00BF2899"/>
    <w:rsid w:val="00BF4933"/>
    <w:rsid w:val="00BF4D62"/>
    <w:rsid w:val="00BF5375"/>
    <w:rsid w:val="00BF650E"/>
    <w:rsid w:val="00BF6E15"/>
    <w:rsid w:val="00BF6F52"/>
    <w:rsid w:val="00BF76E3"/>
    <w:rsid w:val="00BF786F"/>
    <w:rsid w:val="00BF7D83"/>
    <w:rsid w:val="00C0099B"/>
    <w:rsid w:val="00C02D8B"/>
    <w:rsid w:val="00C02E45"/>
    <w:rsid w:val="00C04BCD"/>
    <w:rsid w:val="00C04E54"/>
    <w:rsid w:val="00C06291"/>
    <w:rsid w:val="00C07DF5"/>
    <w:rsid w:val="00C1004A"/>
    <w:rsid w:val="00C1178D"/>
    <w:rsid w:val="00C11CE1"/>
    <w:rsid w:val="00C12E40"/>
    <w:rsid w:val="00C15783"/>
    <w:rsid w:val="00C15C78"/>
    <w:rsid w:val="00C2349D"/>
    <w:rsid w:val="00C26ABB"/>
    <w:rsid w:val="00C36BBA"/>
    <w:rsid w:val="00C3761C"/>
    <w:rsid w:val="00C418E7"/>
    <w:rsid w:val="00C44968"/>
    <w:rsid w:val="00C46497"/>
    <w:rsid w:val="00C500EF"/>
    <w:rsid w:val="00C50373"/>
    <w:rsid w:val="00C5069F"/>
    <w:rsid w:val="00C50FC5"/>
    <w:rsid w:val="00C539DA"/>
    <w:rsid w:val="00C541A0"/>
    <w:rsid w:val="00C55CAC"/>
    <w:rsid w:val="00C56A8D"/>
    <w:rsid w:val="00C62E9D"/>
    <w:rsid w:val="00C6461C"/>
    <w:rsid w:val="00C655B8"/>
    <w:rsid w:val="00C669A6"/>
    <w:rsid w:val="00C70540"/>
    <w:rsid w:val="00C749E4"/>
    <w:rsid w:val="00C7552E"/>
    <w:rsid w:val="00C77E2F"/>
    <w:rsid w:val="00C87988"/>
    <w:rsid w:val="00C911D8"/>
    <w:rsid w:val="00C91DAE"/>
    <w:rsid w:val="00C92A58"/>
    <w:rsid w:val="00C93549"/>
    <w:rsid w:val="00C938C2"/>
    <w:rsid w:val="00C93A1E"/>
    <w:rsid w:val="00C93CEA"/>
    <w:rsid w:val="00C9482E"/>
    <w:rsid w:val="00C95C20"/>
    <w:rsid w:val="00C96FDD"/>
    <w:rsid w:val="00CA0F0E"/>
    <w:rsid w:val="00CA23FA"/>
    <w:rsid w:val="00CA3125"/>
    <w:rsid w:val="00CA3A3D"/>
    <w:rsid w:val="00CA59D5"/>
    <w:rsid w:val="00CA663E"/>
    <w:rsid w:val="00CA7130"/>
    <w:rsid w:val="00CB2144"/>
    <w:rsid w:val="00CB3613"/>
    <w:rsid w:val="00CB728F"/>
    <w:rsid w:val="00CC1984"/>
    <w:rsid w:val="00CC1BBB"/>
    <w:rsid w:val="00CC4F91"/>
    <w:rsid w:val="00CC5BD3"/>
    <w:rsid w:val="00CC627C"/>
    <w:rsid w:val="00CD0241"/>
    <w:rsid w:val="00CD0600"/>
    <w:rsid w:val="00CD51D1"/>
    <w:rsid w:val="00CD5452"/>
    <w:rsid w:val="00CE01CD"/>
    <w:rsid w:val="00CE36C6"/>
    <w:rsid w:val="00CE42E0"/>
    <w:rsid w:val="00CE6446"/>
    <w:rsid w:val="00CF07DB"/>
    <w:rsid w:val="00CF2164"/>
    <w:rsid w:val="00CF2BE5"/>
    <w:rsid w:val="00CF4887"/>
    <w:rsid w:val="00CF4979"/>
    <w:rsid w:val="00CF6D33"/>
    <w:rsid w:val="00CF7C49"/>
    <w:rsid w:val="00D02196"/>
    <w:rsid w:val="00D0333C"/>
    <w:rsid w:val="00D1055E"/>
    <w:rsid w:val="00D11A79"/>
    <w:rsid w:val="00D11AA0"/>
    <w:rsid w:val="00D20419"/>
    <w:rsid w:val="00D2066F"/>
    <w:rsid w:val="00D23845"/>
    <w:rsid w:val="00D24994"/>
    <w:rsid w:val="00D24ECB"/>
    <w:rsid w:val="00D275E9"/>
    <w:rsid w:val="00D3000A"/>
    <w:rsid w:val="00D30AF4"/>
    <w:rsid w:val="00D30B0B"/>
    <w:rsid w:val="00D30BCE"/>
    <w:rsid w:val="00D34028"/>
    <w:rsid w:val="00D34E6F"/>
    <w:rsid w:val="00D36869"/>
    <w:rsid w:val="00D4033E"/>
    <w:rsid w:val="00D411C3"/>
    <w:rsid w:val="00D45BDF"/>
    <w:rsid w:val="00D5043B"/>
    <w:rsid w:val="00D52A10"/>
    <w:rsid w:val="00D535BD"/>
    <w:rsid w:val="00D578D1"/>
    <w:rsid w:val="00D602E0"/>
    <w:rsid w:val="00D633C4"/>
    <w:rsid w:val="00D63404"/>
    <w:rsid w:val="00D660FF"/>
    <w:rsid w:val="00D67DCB"/>
    <w:rsid w:val="00D72BD9"/>
    <w:rsid w:val="00D77779"/>
    <w:rsid w:val="00D779AB"/>
    <w:rsid w:val="00D81481"/>
    <w:rsid w:val="00D81C45"/>
    <w:rsid w:val="00D83917"/>
    <w:rsid w:val="00D87C98"/>
    <w:rsid w:val="00D91551"/>
    <w:rsid w:val="00D91F2F"/>
    <w:rsid w:val="00D92A71"/>
    <w:rsid w:val="00D92E31"/>
    <w:rsid w:val="00D95C5E"/>
    <w:rsid w:val="00D974DF"/>
    <w:rsid w:val="00D977F5"/>
    <w:rsid w:val="00D97A4B"/>
    <w:rsid w:val="00DA1602"/>
    <w:rsid w:val="00DA244B"/>
    <w:rsid w:val="00DA339C"/>
    <w:rsid w:val="00DA573F"/>
    <w:rsid w:val="00DA6C95"/>
    <w:rsid w:val="00DB07EB"/>
    <w:rsid w:val="00DB090B"/>
    <w:rsid w:val="00DB393F"/>
    <w:rsid w:val="00DB4041"/>
    <w:rsid w:val="00DC2E80"/>
    <w:rsid w:val="00DC48F5"/>
    <w:rsid w:val="00DC5C73"/>
    <w:rsid w:val="00DC76A1"/>
    <w:rsid w:val="00DD5437"/>
    <w:rsid w:val="00DD7C3A"/>
    <w:rsid w:val="00DE0A5D"/>
    <w:rsid w:val="00DE2C87"/>
    <w:rsid w:val="00DE31EA"/>
    <w:rsid w:val="00DF061E"/>
    <w:rsid w:val="00DF0D87"/>
    <w:rsid w:val="00DF16DA"/>
    <w:rsid w:val="00DF43A3"/>
    <w:rsid w:val="00DF4A16"/>
    <w:rsid w:val="00DF53EF"/>
    <w:rsid w:val="00DF5A89"/>
    <w:rsid w:val="00DF685B"/>
    <w:rsid w:val="00E011DA"/>
    <w:rsid w:val="00E03289"/>
    <w:rsid w:val="00E03798"/>
    <w:rsid w:val="00E038AB"/>
    <w:rsid w:val="00E05710"/>
    <w:rsid w:val="00E114C9"/>
    <w:rsid w:val="00E12647"/>
    <w:rsid w:val="00E1274C"/>
    <w:rsid w:val="00E12A76"/>
    <w:rsid w:val="00E12C38"/>
    <w:rsid w:val="00E140A3"/>
    <w:rsid w:val="00E206F6"/>
    <w:rsid w:val="00E210AF"/>
    <w:rsid w:val="00E26064"/>
    <w:rsid w:val="00E266E8"/>
    <w:rsid w:val="00E27106"/>
    <w:rsid w:val="00E30699"/>
    <w:rsid w:val="00E32CEA"/>
    <w:rsid w:val="00E33A27"/>
    <w:rsid w:val="00E35582"/>
    <w:rsid w:val="00E36633"/>
    <w:rsid w:val="00E373D4"/>
    <w:rsid w:val="00E41540"/>
    <w:rsid w:val="00E50FC5"/>
    <w:rsid w:val="00E52BB8"/>
    <w:rsid w:val="00E52EE3"/>
    <w:rsid w:val="00E54BF8"/>
    <w:rsid w:val="00E55878"/>
    <w:rsid w:val="00E55B0E"/>
    <w:rsid w:val="00E55F63"/>
    <w:rsid w:val="00E56403"/>
    <w:rsid w:val="00E62DBC"/>
    <w:rsid w:val="00E630D2"/>
    <w:rsid w:val="00E65C58"/>
    <w:rsid w:val="00E6661B"/>
    <w:rsid w:val="00E667B9"/>
    <w:rsid w:val="00E67D62"/>
    <w:rsid w:val="00E67EC6"/>
    <w:rsid w:val="00E67ECD"/>
    <w:rsid w:val="00E729DB"/>
    <w:rsid w:val="00E73248"/>
    <w:rsid w:val="00E73610"/>
    <w:rsid w:val="00E777B3"/>
    <w:rsid w:val="00E77D81"/>
    <w:rsid w:val="00E81033"/>
    <w:rsid w:val="00E810C3"/>
    <w:rsid w:val="00E848E7"/>
    <w:rsid w:val="00E84EC5"/>
    <w:rsid w:val="00E859C4"/>
    <w:rsid w:val="00E93577"/>
    <w:rsid w:val="00E94837"/>
    <w:rsid w:val="00E95C79"/>
    <w:rsid w:val="00E9650A"/>
    <w:rsid w:val="00E965BF"/>
    <w:rsid w:val="00E97B57"/>
    <w:rsid w:val="00EA1E6F"/>
    <w:rsid w:val="00EA3258"/>
    <w:rsid w:val="00EA444E"/>
    <w:rsid w:val="00EA490A"/>
    <w:rsid w:val="00EA6107"/>
    <w:rsid w:val="00EB1011"/>
    <w:rsid w:val="00EB1AF5"/>
    <w:rsid w:val="00EB2D35"/>
    <w:rsid w:val="00EB4CB2"/>
    <w:rsid w:val="00EB5E48"/>
    <w:rsid w:val="00EC1475"/>
    <w:rsid w:val="00ED1F14"/>
    <w:rsid w:val="00ED52C1"/>
    <w:rsid w:val="00EE05A2"/>
    <w:rsid w:val="00EE102F"/>
    <w:rsid w:val="00EE2F37"/>
    <w:rsid w:val="00EE3297"/>
    <w:rsid w:val="00EE35D5"/>
    <w:rsid w:val="00EE403D"/>
    <w:rsid w:val="00EE4FEC"/>
    <w:rsid w:val="00EE57BE"/>
    <w:rsid w:val="00EE6875"/>
    <w:rsid w:val="00EF0218"/>
    <w:rsid w:val="00EF06AA"/>
    <w:rsid w:val="00EF0D9C"/>
    <w:rsid w:val="00EF19A3"/>
    <w:rsid w:val="00EF1FC5"/>
    <w:rsid w:val="00EF22CD"/>
    <w:rsid w:val="00EF2D43"/>
    <w:rsid w:val="00EF4691"/>
    <w:rsid w:val="00EF676C"/>
    <w:rsid w:val="00EF6CF5"/>
    <w:rsid w:val="00F07CA5"/>
    <w:rsid w:val="00F14FCA"/>
    <w:rsid w:val="00F16538"/>
    <w:rsid w:val="00F1653A"/>
    <w:rsid w:val="00F168A7"/>
    <w:rsid w:val="00F16DE1"/>
    <w:rsid w:val="00F170F2"/>
    <w:rsid w:val="00F20CB6"/>
    <w:rsid w:val="00F2155C"/>
    <w:rsid w:val="00F220BE"/>
    <w:rsid w:val="00F232DC"/>
    <w:rsid w:val="00F23802"/>
    <w:rsid w:val="00F244C4"/>
    <w:rsid w:val="00F307C5"/>
    <w:rsid w:val="00F31D56"/>
    <w:rsid w:val="00F352CC"/>
    <w:rsid w:val="00F36B62"/>
    <w:rsid w:val="00F4009A"/>
    <w:rsid w:val="00F406DC"/>
    <w:rsid w:val="00F40A44"/>
    <w:rsid w:val="00F435F7"/>
    <w:rsid w:val="00F44025"/>
    <w:rsid w:val="00F460DA"/>
    <w:rsid w:val="00F46629"/>
    <w:rsid w:val="00F5091F"/>
    <w:rsid w:val="00F5403D"/>
    <w:rsid w:val="00F54041"/>
    <w:rsid w:val="00F57424"/>
    <w:rsid w:val="00F57718"/>
    <w:rsid w:val="00F57C81"/>
    <w:rsid w:val="00F609C5"/>
    <w:rsid w:val="00F6269E"/>
    <w:rsid w:val="00F6379D"/>
    <w:rsid w:val="00F65248"/>
    <w:rsid w:val="00F710DD"/>
    <w:rsid w:val="00F73136"/>
    <w:rsid w:val="00F7354A"/>
    <w:rsid w:val="00F756B5"/>
    <w:rsid w:val="00F75DA8"/>
    <w:rsid w:val="00F75F6B"/>
    <w:rsid w:val="00F76760"/>
    <w:rsid w:val="00F76E63"/>
    <w:rsid w:val="00F80340"/>
    <w:rsid w:val="00F80564"/>
    <w:rsid w:val="00F80FD5"/>
    <w:rsid w:val="00F81E38"/>
    <w:rsid w:val="00F81FFA"/>
    <w:rsid w:val="00F86A3D"/>
    <w:rsid w:val="00F86B0D"/>
    <w:rsid w:val="00F86C46"/>
    <w:rsid w:val="00F917C0"/>
    <w:rsid w:val="00F95BC8"/>
    <w:rsid w:val="00F963FF"/>
    <w:rsid w:val="00F9763B"/>
    <w:rsid w:val="00FA5C09"/>
    <w:rsid w:val="00FB4952"/>
    <w:rsid w:val="00FB57CC"/>
    <w:rsid w:val="00FB599C"/>
    <w:rsid w:val="00FB7C69"/>
    <w:rsid w:val="00FC12CC"/>
    <w:rsid w:val="00FC1C17"/>
    <w:rsid w:val="00FC37AC"/>
    <w:rsid w:val="00FC40F2"/>
    <w:rsid w:val="00FC423F"/>
    <w:rsid w:val="00FC5FAA"/>
    <w:rsid w:val="00FC6AD5"/>
    <w:rsid w:val="00FD187E"/>
    <w:rsid w:val="00FD18FB"/>
    <w:rsid w:val="00FD192E"/>
    <w:rsid w:val="00FD2708"/>
    <w:rsid w:val="00FD4B1D"/>
    <w:rsid w:val="00FD7CD0"/>
    <w:rsid w:val="00FE1A3A"/>
    <w:rsid w:val="00FE2706"/>
    <w:rsid w:val="00FE39F6"/>
    <w:rsid w:val="00FE7934"/>
    <w:rsid w:val="00FE7FE7"/>
    <w:rsid w:val="00FF2EA8"/>
    <w:rsid w:val="00FF37F6"/>
    <w:rsid w:val="00FF3CDB"/>
    <w:rsid w:val="00FF4ADD"/>
    <w:rsid w:val="010C243E"/>
    <w:rsid w:val="0177451A"/>
    <w:rsid w:val="053A4512"/>
    <w:rsid w:val="0594536B"/>
    <w:rsid w:val="06D05598"/>
    <w:rsid w:val="073A5A0B"/>
    <w:rsid w:val="07506C6F"/>
    <w:rsid w:val="07577FFE"/>
    <w:rsid w:val="08293F3F"/>
    <w:rsid w:val="08A8171F"/>
    <w:rsid w:val="09CA59F7"/>
    <w:rsid w:val="0A146488"/>
    <w:rsid w:val="0C0C7F03"/>
    <w:rsid w:val="0C810017"/>
    <w:rsid w:val="0D7A2203"/>
    <w:rsid w:val="0DAF0B93"/>
    <w:rsid w:val="0E100F06"/>
    <w:rsid w:val="0E3C526C"/>
    <w:rsid w:val="0F0E3698"/>
    <w:rsid w:val="0FCE162A"/>
    <w:rsid w:val="0FEA7549"/>
    <w:rsid w:val="100D3381"/>
    <w:rsid w:val="10CD0C76"/>
    <w:rsid w:val="125D09C4"/>
    <w:rsid w:val="12817045"/>
    <w:rsid w:val="15806971"/>
    <w:rsid w:val="15D419A2"/>
    <w:rsid w:val="163F4A7E"/>
    <w:rsid w:val="16521FE1"/>
    <w:rsid w:val="16EF0253"/>
    <w:rsid w:val="17FC3582"/>
    <w:rsid w:val="18631508"/>
    <w:rsid w:val="1876024A"/>
    <w:rsid w:val="18D37C2C"/>
    <w:rsid w:val="19094ED0"/>
    <w:rsid w:val="190F22AF"/>
    <w:rsid w:val="1AC20DB1"/>
    <w:rsid w:val="1C145B71"/>
    <w:rsid w:val="1C8B27CB"/>
    <w:rsid w:val="1CC51319"/>
    <w:rsid w:val="1E457626"/>
    <w:rsid w:val="1E851D92"/>
    <w:rsid w:val="1EFD6E6C"/>
    <w:rsid w:val="1F3A5DE3"/>
    <w:rsid w:val="1F3E7B44"/>
    <w:rsid w:val="1FD36D87"/>
    <w:rsid w:val="21554126"/>
    <w:rsid w:val="21B438F6"/>
    <w:rsid w:val="224E4BB7"/>
    <w:rsid w:val="22C43E51"/>
    <w:rsid w:val="231F3C6E"/>
    <w:rsid w:val="23761921"/>
    <w:rsid w:val="24FE227B"/>
    <w:rsid w:val="259B2C26"/>
    <w:rsid w:val="25E04236"/>
    <w:rsid w:val="25E06F6D"/>
    <w:rsid w:val="28611E55"/>
    <w:rsid w:val="2867552D"/>
    <w:rsid w:val="296C7298"/>
    <w:rsid w:val="2A1533F1"/>
    <w:rsid w:val="2B603563"/>
    <w:rsid w:val="2C1A1476"/>
    <w:rsid w:val="2CAC016D"/>
    <w:rsid w:val="2E540FF5"/>
    <w:rsid w:val="2F303A50"/>
    <w:rsid w:val="2FE500E7"/>
    <w:rsid w:val="2FF4615F"/>
    <w:rsid w:val="30017D16"/>
    <w:rsid w:val="313E6B35"/>
    <w:rsid w:val="31406246"/>
    <w:rsid w:val="31D75713"/>
    <w:rsid w:val="32ED37E3"/>
    <w:rsid w:val="32EE71B8"/>
    <w:rsid w:val="33307726"/>
    <w:rsid w:val="3421711A"/>
    <w:rsid w:val="34F53693"/>
    <w:rsid w:val="365C25BF"/>
    <w:rsid w:val="36716344"/>
    <w:rsid w:val="375570E7"/>
    <w:rsid w:val="3763257B"/>
    <w:rsid w:val="37B242A6"/>
    <w:rsid w:val="39327D9D"/>
    <w:rsid w:val="3CF116DA"/>
    <w:rsid w:val="3DA617F4"/>
    <w:rsid w:val="3EF458F2"/>
    <w:rsid w:val="3F1475D7"/>
    <w:rsid w:val="3FEC39BC"/>
    <w:rsid w:val="4235270E"/>
    <w:rsid w:val="42995385"/>
    <w:rsid w:val="434A3F97"/>
    <w:rsid w:val="43E60433"/>
    <w:rsid w:val="45400B95"/>
    <w:rsid w:val="456F4189"/>
    <w:rsid w:val="475F73CA"/>
    <w:rsid w:val="47D76015"/>
    <w:rsid w:val="482C2C53"/>
    <w:rsid w:val="4A633E34"/>
    <w:rsid w:val="4A7C7E25"/>
    <w:rsid w:val="4A9F106C"/>
    <w:rsid w:val="4B645E12"/>
    <w:rsid w:val="4B86701D"/>
    <w:rsid w:val="4C891FD4"/>
    <w:rsid w:val="4CB71AC3"/>
    <w:rsid w:val="4D965452"/>
    <w:rsid w:val="4E414071"/>
    <w:rsid w:val="4ED232B7"/>
    <w:rsid w:val="4F654D29"/>
    <w:rsid w:val="4F935FCE"/>
    <w:rsid w:val="4FEB6B02"/>
    <w:rsid w:val="50265D8C"/>
    <w:rsid w:val="50AD2765"/>
    <w:rsid w:val="50CC6933"/>
    <w:rsid w:val="512B337B"/>
    <w:rsid w:val="51A90A23"/>
    <w:rsid w:val="51D02D3D"/>
    <w:rsid w:val="5325232B"/>
    <w:rsid w:val="54E7352F"/>
    <w:rsid w:val="552D350C"/>
    <w:rsid w:val="55F10BEA"/>
    <w:rsid w:val="59456006"/>
    <w:rsid w:val="598A50F9"/>
    <w:rsid w:val="5AAB1367"/>
    <w:rsid w:val="5B51560B"/>
    <w:rsid w:val="5C414D69"/>
    <w:rsid w:val="5C8F26A2"/>
    <w:rsid w:val="5CD31049"/>
    <w:rsid w:val="5DC310BE"/>
    <w:rsid w:val="5DC91399"/>
    <w:rsid w:val="5EB43C37"/>
    <w:rsid w:val="5EF673A8"/>
    <w:rsid w:val="5F223242"/>
    <w:rsid w:val="5F8A7A45"/>
    <w:rsid w:val="5FE07D05"/>
    <w:rsid w:val="60FE2C3A"/>
    <w:rsid w:val="62A00CA3"/>
    <w:rsid w:val="62AF0875"/>
    <w:rsid w:val="647C424F"/>
    <w:rsid w:val="647E7AED"/>
    <w:rsid w:val="64D32DDD"/>
    <w:rsid w:val="65C1309B"/>
    <w:rsid w:val="66255F81"/>
    <w:rsid w:val="66486604"/>
    <w:rsid w:val="675F6813"/>
    <w:rsid w:val="678251B1"/>
    <w:rsid w:val="67920941"/>
    <w:rsid w:val="68464DC5"/>
    <w:rsid w:val="687A5294"/>
    <w:rsid w:val="690F51B7"/>
    <w:rsid w:val="6B362ECF"/>
    <w:rsid w:val="6BBB1626"/>
    <w:rsid w:val="6CB31830"/>
    <w:rsid w:val="6F5114F1"/>
    <w:rsid w:val="6FA04DBB"/>
    <w:rsid w:val="70651EF6"/>
    <w:rsid w:val="71BB1EC8"/>
    <w:rsid w:val="71C34CA5"/>
    <w:rsid w:val="71CB65BC"/>
    <w:rsid w:val="721B79E1"/>
    <w:rsid w:val="72AC107D"/>
    <w:rsid w:val="73FB1084"/>
    <w:rsid w:val="74951C65"/>
    <w:rsid w:val="75F419BD"/>
    <w:rsid w:val="785E1CB7"/>
    <w:rsid w:val="78A711B8"/>
    <w:rsid w:val="79F0693F"/>
    <w:rsid w:val="7AC24A5E"/>
    <w:rsid w:val="7B22521E"/>
    <w:rsid w:val="7B3E32A1"/>
    <w:rsid w:val="7D086252"/>
    <w:rsid w:val="7FBF5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3"/>
    <w:qFormat/>
    <w:uiPriority w:val="9"/>
    <w:pPr>
      <w:spacing w:before="340" w:after="330" w:line="360" w:lineRule="auto"/>
      <w:jc w:val="center"/>
      <w:outlineLvl w:val="0"/>
    </w:pPr>
    <w:rPr>
      <w:rFonts w:eastAsia="黑体"/>
      <w:kern w:val="44"/>
      <w:szCs w:val="44"/>
    </w:rPr>
  </w:style>
  <w:style w:type="paragraph" w:styleId="5">
    <w:name w:val="heading 2"/>
    <w:basedOn w:val="1"/>
    <w:next w:val="1"/>
    <w:link w:val="54"/>
    <w:qFormat/>
    <w:uiPriority w:val="0"/>
    <w:pPr>
      <w:adjustRightInd w:val="0"/>
      <w:jc w:val="center"/>
      <w:textAlignment w:val="baseline"/>
      <w:outlineLvl w:val="1"/>
    </w:pPr>
    <w:rPr>
      <w:sz w:val="24"/>
      <w:szCs w:val="20"/>
    </w:rPr>
  </w:style>
  <w:style w:type="paragraph" w:styleId="6">
    <w:name w:val="heading 3"/>
    <w:basedOn w:val="7"/>
    <w:next w:val="1"/>
    <w:link w:val="62"/>
    <w:qFormat/>
    <w:uiPriority w:val="9"/>
    <w:pPr>
      <w:spacing w:before="260" w:after="260" w:line="240" w:lineRule="auto"/>
      <w:outlineLvl w:val="2"/>
    </w:pPr>
    <w:rPr>
      <w:rFonts w:ascii="宋体" w:hAnsi="宋体" w:eastAsia="宋体"/>
      <w:szCs w:val="32"/>
    </w:rPr>
  </w:style>
  <w:style w:type="paragraph" w:styleId="7">
    <w:name w:val="heading 4"/>
    <w:basedOn w:val="1"/>
    <w:next w:val="1"/>
    <w:link w:val="56"/>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9"/>
    <w:link w:val="57"/>
    <w:qFormat/>
    <w:uiPriority w:val="0"/>
    <w:pPr>
      <w:keepNext/>
      <w:keepLines/>
      <w:spacing w:before="280" w:after="290" w:line="376" w:lineRule="auto"/>
      <w:outlineLvl w:val="4"/>
    </w:pPr>
    <w:rPr>
      <w:rFonts w:ascii="Times New Roman" w:hAnsi="Times New Roman"/>
      <w:b/>
      <w:kern w:val="0"/>
      <w:sz w:val="28"/>
      <w:szCs w:val="20"/>
    </w:rPr>
  </w:style>
  <w:style w:type="paragraph" w:styleId="10">
    <w:name w:val="heading 6"/>
    <w:basedOn w:val="1"/>
    <w:next w:val="9"/>
    <w:link w:val="58"/>
    <w:qFormat/>
    <w:uiPriority w:val="0"/>
    <w:pPr>
      <w:keepNext/>
      <w:keepLines/>
      <w:spacing w:before="240" w:after="64" w:line="320" w:lineRule="auto"/>
      <w:outlineLvl w:val="5"/>
    </w:pPr>
    <w:rPr>
      <w:rFonts w:ascii="Arial" w:hAnsi="Arial" w:eastAsia="黑体"/>
      <w:b/>
      <w:kern w:val="0"/>
      <w:sz w:val="24"/>
      <w:szCs w:val="20"/>
    </w:rPr>
  </w:style>
  <w:style w:type="paragraph" w:styleId="11">
    <w:name w:val="heading 7"/>
    <w:basedOn w:val="1"/>
    <w:next w:val="9"/>
    <w:link w:val="59"/>
    <w:qFormat/>
    <w:uiPriority w:val="0"/>
    <w:pPr>
      <w:keepNext/>
      <w:keepLines/>
      <w:spacing w:before="240" w:after="64" w:line="320" w:lineRule="auto"/>
      <w:outlineLvl w:val="6"/>
    </w:pPr>
    <w:rPr>
      <w:rFonts w:ascii="Times New Roman" w:hAnsi="Times New Roman"/>
      <w:b/>
      <w:kern w:val="0"/>
      <w:sz w:val="24"/>
      <w:szCs w:val="20"/>
    </w:rPr>
  </w:style>
  <w:style w:type="paragraph" w:styleId="12">
    <w:name w:val="heading 8"/>
    <w:basedOn w:val="1"/>
    <w:next w:val="9"/>
    <w:link w:val="60"/>
    <w:qFormat/>
    <w:uiPriority w:val="0"/>
    <w:pPr>
      <w:keepNext/>
      <w:keepLines/>
      <w:spacing w:before="240" w:after="64" w:line="320" w:lineRule="auto"/>
      <w:outlineLvl w:val="7"/>
    </w:pPr>
    <w:rPr>
      <w:rFonts w:ascii="Arial" w:hAnsi="Arial" w:eastAsia="黑体"/>
      <w:kern w:val="0"/>
      <w:sz w:val="24"/>
      <w:szCs w:val="20"/>
    </w:rPr>
  </w:style>
  <w:style w:type="paragraph" w:styleId="13">
    <w:name w:val="heading 9"/>
    <w:basedOn w:val="1"/>
    <w:next w:val="9"/>
    <w:link w:val="61"/>
    <w:qFormat/>
    <w:uiPriority w:val="0"/>
    <w:pPr>
      <w:keepNext/>
      <w:keepLines/>
      <w:spacing w:before="240" w:after="64" w:line="320" w:lineRule="auto"/>
      <w:outlineLvl w:val="8"/>
    </w:pPr>
    <w:rPr>
      <w:rFonts w:ascii="Arial" w:hAnsi="Arial" w:eastAsia="黑体"/>
      <w:kern w:val="0"/>
      <w:sz w:val="20"/>
      <w:szCs w:val="20"/>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16"/>
    <w:qFormat/>
    <w:uiPriority w:val="0"/>
    <w:pPr>
      <w:spacing w:line="360" w:lineRule="auto"/>
    </w:pPr>
    <w:rPr>
      <w:rFonts w:ascii="Times New Roman" w:hAnsi="Times New Roman"/>
      <w:b/>
      <w:bCs/>
      <w:kern w:val="0"/>
      <w:sz w:val="24"/>
      <w:szCs w:val="24"/>
    </w:rPr>
  </w:style>
  <w:style w:type="paragraph" w:styleId="3">
    <w:name w:val="Body Text 2"/>
    <w:basedOn w:val="1"/>
    <w:link w:val="121"/>
    <w:qFormat/>
    <w:uiPriority w:val="0"/>
    <w:pPr>
      <w:spacing w:line="360" w:lineRule="auto"/>
    </w:pPr>
    <w:rPr>
      <w:rFonts w:ascii="Times New Roman" w:hAnsi="Times New Roman"/>
      <w:kern w:val="0"/>
      <w:sz w:val="24"/>
      <w:szCs w:val="24"/>
    </w:rPr>
  </w:style>
  <w:style w:type="paragraph" w:styleId="9">
    <w:name w:val="Normal Indent"/>
    <w:basedOn w:val="1"/>
    <w:link w:val="74"/>
    <w:qFormat/>
    <w:uiPriority w:val="0"/>
    <w:pPr>
      <w:ind w:firstLine="420"/>
    </w:pPr>
    <w:rPr>
      <w:rFonts w:ascii="Times New Roman" w:hAnsi="Times New Roman"/>
      <w:kern w:val="0"/>
      <w:sz w:val="20"/>
      <w:szCs w:val="20"/>
    </w:rPr>
  </w:style>
  <w:style w:type="paragraph" w:styleId="14">
    <w:name w:val="toc 7"/>
    <w:basedOn w:val="1"/>
    <w:next w:val="1"/>
    <w:semiHidden/>
    <w:qFormat/>
    <w:uiPriority w:val="0"/>
    <w:pPr>
      <w:ind w:left="1260"/>
      <w:jc w:val="left"/>
    </w:pPr>
    <w:rPr>
      <w:rFonts w:ascii="Times New Roman" w:hAnsi="Times New Roman"/>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tabs>
        <w:tab w:val="left" w:pos="360"/>
      </w:tabs>
      <w:ind w:left="360" w:hanging="360"/>
    </w:pPr>
    <w:rPr>
      <w:rFonts w:ascii="Times New Roman" w:hAnsi="Times New Roman"/>
      <w:szCs w:val="20"/>
    </w:rPr>
  </w:style>
  <w:style w:type="paragraph" w:styleId="17">
    <w:name w:val="Document Map"/>
    <w:basedOn w:val="1"/>
    <w:link w:val="114"/>
    <w:semiHidden/>
    <w:qFormat/>
    <w:uiPriority w:val="0"/>
    <w:pPr>
      <w:shd w:val="clear" w:color="auto" w:fill="000080"/>
    </w:pPr>
    <w:rPr>
      <w:rFonts w:ascii="Times New Roman" w:hAnsi="Times New Roman"/>
      <w:kern w:val="0"/>
      <w:sz w:val="20"/>
      <w:szCs w:val="24"/>
    </w:rPr>
  </w:style>
  <w:style w:type="paragraph" w:styleId="18">
    <w:name w:val="annotation text"/>
    <w:basedOn w:val="1"/>
    <w:link w:val="118"/>
    <w:qFormat/>
    <w:uiPriority w:val="0"/>
    <w:pPr>
      <w:autoSpaceDE w:val="0"/>
      <w:autoSpaceDN w:val="0"/>
      <w:adjustRightInd w:val="0"/>
      <w:jc w:val="left"/>
      <w:textAlignment w:val="baseline"/>
    </w:pPr>
    <w:rPr>
      <w:rFonts w:ascii="宋体" w:hAnsi="Times New Roman"/>
      <w:kern w:val="0"/>
      <w:sz w:val="34"/>
      <w:szCs w:val="20"/>
    </w:rPr>
  </w:style>
  <w:style w:type="paragraph" w:styleId="19">
    <w:name w:val="Body Text 3"/>
    <w:basedOn w:val="1"/>
    <w:link w:val="112"/>
    <w:qFormat/>
    <w:uiPriority w:val="0"/>
    <w:pPr>
      <w:spacing w:after="120"/>
    </w:pPr>
    <w:rPr>
      <w:rFonts w:ascii="Times New Roman" w:hAnsi="Times New Roman"/>
      <w:kern w:val="0"/>
      <w:sz w:val="16"/>
      <w:szCs w:val="16"/>
    </w:rPr>
  </w:style>
  <w:style w:type="paragraph" w:styleId="20">
    <w:name w:val="Body Text Indent"/>
    <w:basedOn w:val="1"/>
    <w:link w:val="117"/>
    <w:qFormat/>
    <w:uiPriority w:val="0"/>
    <w:pPr>
      <w:spacing w:line="360" w:lineRule="auto"/>
      <w:ind w:firstLine="420" w:firstLineChars="200"/>
    </w:pPr>
    <w:rPr>
      <w:rFonts w:ascii="Times New Roman" w:hAnsi="Times New Roman"/>
      <w:kern w:val="0"/>
      <w:sz w:val="20"/>
      <w:szCs w:val="24"/>
    </w:rPr>
  </w:style>
  <w:style w:type="paragraph" w:styleId="21">
    <w:name w:val="toc 5"/>
    <w:basedOn w:val="1"/>
    <w:next w:val="1"/>
    <w:semiHidden/>
    <w:qFormat/>
    <w:uiPriority w:val="0"/>
    <w:pPr>
      <w:ind w:left="840"/>
      <w:jc w:val="left"/>
    </w:pPr>
    <w:rPr>
      <w:rFonts w:ascii="Times New Roman" w:hAnsi="Times New Roman"/>
      <w:szCs w:val="21"/>
    </w:rPr>
  </w:style>
  <w:style w:type="paragraph" w:styleId="22">
    <w:name w:val="toc 3"/>
    <w:basedOn w:val="1"/>
    <w:next w:val="1"/>
    <w:semiHidden/>
    <w:qFormat/>
    <w:uiPriority w:val="0"/>
    <w:pPr>
      <w:ind w:left="420"/>
      <w:jc w:val="left"/>
    </w:pPr>
    <w:rPr>
      <w:rFonts w:ascii="Times New Roman" w:hAnsi="Times New Roman"/>
      <w:i/>
      <w:iCs/>
      <w:szCs w:val="24"/>
    </w:rPr>
  </w:style>
  <w:style w:type="paragraph" w:styleId="23">
    <w:name w:val="Plain Text"/>
    <w:basedOn w:val="1"/>
    <w:link w:val="113"/>
    <w:qFormat/>
    <w:uiPriority w:val="0"/>
    <w:rPr>
      <w:rFonts w:ascii="宋体" w:hAnsi="Courier New"/>
      <w:kern w:val="0"/>
      <w:sz w:val="20"/>
      <w:szCs w:val="20"/>
    </w:rPr>
  </w:style>
  <w:style w:type="paragraph" w:styleId="24">
    <w:name w:val="toc 8"/>
    <w:basedOn w:val="1"/>
    <w:next w:val="1"/>
    <w:semiHidden/>
    <w:qFormat/>
    <w:uiPriority w:val="0"/>
    <w:pPr>
      <w:ind w:left="1470"/>
      <w:jc w:val="left"/>
    </w:pPr>
    <w:rPr>
      <w:rFonts w:ascii="Times New Roman" w:hAnsi="Times New Roman"/>
      <w:szCs w:val="21"/>
    </w:rPr>
  </w:style>
  <w:style w:type="paragraph" w:styleId="25">
    <w:name w:val="Date"/>
    <w:basedOn w:val="1"/>
    <w:next w:val="1"/>
    <w:link w:val="115"/>
    <w:qFormat/>
    <w:uiPriority w:val="0"/>
    <w:rPr>
      <w:rFonts w:ascii="宋体" w:hAnsi="Courier New"/>
      <w:kern w:val="0"/>
      <w:sz w:val="32"/>
      <w:szCs w:val="20"/>
    </w:rPr>
  </w:style>
  <w:style w:type="paragraph" w:styleId="26">
    <w:name w:val="Body Text Indent 2"/>
    <w:basedOn w:val="1"/>
    <w:link w:val="120"/>
    <w:qFormat/>
    <w:uiPriority w:val="0"/>
    <w:pPr>
      <w:spacing w:beforeLines="50" w:afterLines="50" w:line="120" w:lineRule="auto"/>
      <w:ind w:firstLine="840" w:firstLineChars="400"/>
      <w:jc w:val="left"/>
    </w:pPr>
    <w:rPr>
      <w:rFonts w:ascii="宋体" w:hAnsi="宋体"/>
      <w:kern w:val="0"/>
      <w:sz w:val="20"/>
      <w:szCs w:val="24"/>
    </w:rPr>
  </w:style>
  <w:style w:type="paragraph" w:styleId="27">
    <w:name w:val="Balloon Text"/>
    <w:basedOn w:val="1"/>
    <w:link w:val="122"/>
    <w:qFormat/>
    <w:uiPriority w:val="99"/>
    <w:rPr>
      <w:rFonts w:ascii="Times New Roman" w:hAnsi="Times New Roman"/>
      <w:kern w:val="0"/>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rFonts w:ascii="Times New Roman" w:hAnsi="Times New Roman"/>
      <w:b/>
      <w:bCs/>
      <w:caps/>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toc 6"/>
    <w:basedOn w:val="1"/>
    <w:next w:val="1"/>
    <w:semiHidden/>
    <w:qFormat/>
    <w:uiPriority w:val="0"/>
    <w:pPr>
      <w:ind w:left="1050"/>
      <w:jc w:val="left"/>
    </w:pPr>
    <w:rPr>
      <w:rFonts w:ascii="Times New Roman" w:hAnsi="Times New Roman"/>
      <w:szCs w:val="21"/>
    </w:rPr>
  </w:style>
  <w:style w:type="paragraph" w:styleId="33">
    <w:name w:val="Body Text Indent 3"/>
    <w:basedOn w:val="1"/>
    <w:link w:val="123"/>
    <w:qFormat/>
    <w:uiPriority w:val="0"/>
    <w:pPr>
      <w:spacing w:line="360" w:lineRule="auto"/>
      <w:ind w:firstLine="482" w:firstLineChars="200"/>
    </w:pPr>
    <w:rPr>
      <w:rFonts w:ascii="宋体" w:hAnsi="Times New Roman"/>
      <w:b/>
      <w:bCs/>
      <w:kern w:val="0"/>
      <w:sz w:val="24"/>
      <w:szCs w:val="24"/>
    </w:rPr>
  </w:style>
  <w:style w:type="paragraph" w:styleId="34">
    <w:name w:val="toc 2"/>
    <w:basedOn w:val="1"/>
    <w:next w:val="1"/>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semiHidden/>
    <w:qFormat/>
    <w:uiPriority w:val="0"/>
    <w:pPr>
      <w:ind w:left="1680"/>
      <w:jc w:val="left"/>
    </w:pPr>
    <w:rPr>
      <w:rFonts w:ascii="Times New Roman" w:hAnsi="Times New Roman"/>
      <w:szCs w:val="21"/>
    </w:rPr>
  </w:style>
  <w:style w:type="paragraph" w:styleId="36">
    <w:name w:val="HTML Preformatted"/>
    <w:basedOn w:val="1"/>
    <w:link w:val="1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39">
    <w:name w:val="Title"/>
    <w:basedOn w:val="1"/>
    <w:next w:val="1"/>
    <w:link w:val="124"/>
    <w:qFormat/>
    <w:uiPriority w:val="0"/>
    <w:pPr>
      <w:spacing w:before="240" w:after="60"/>
      <w:jc w:val="center"/>
      <w:outlineLvl w:val="0"/>
    </w:pPr>
    <w:rPr>
      <w:rFonts w:ascii="Arial" w:hAnsi="Arial" w:eastAsia="隶书"/>
      <w:b/>
      <w:bCs/>
      <w:kern w:val="0"/>
      <w:sz w:val="32"/>
      <w:szCs w:val="32"/>
    </w:rPr>
  </w:style>
  <w:style w:type="paragraph" w:styleId="40">
    <w:name w:val="annotation subject"/>
    <w:basedOn w:val="18"/>
    <w:next w:val="18"/>
    <w:link w:val="125"/>
    <w:qFormat/>
    <w:uiPriority w:val="99"/>
    <w:pPr>
      <w:autoSpaceDE/>
      <w:autoSpaceDN/>
      <w:adjustRightInd/>
      <w:textAlignment w:val="auto"/>
    </w:pPr>
    <w:rPr>
      <w:rFonts w:ascii="Times New Roman"/>
      <w:b/>
      <w:bCs/>
      <w:szCs w:val="24"/>
    </w:rPr>
  </w:style>
  <w:style w:type="paragraph" w:styleId="41">
    <w:name w:val="Body Text First Indent"/>
    <w:basedOn w:val="2"/>
    <w:link w:val="126"/>
    <w:qFormat/>
    <w:uiPriority w:val="0"/>
    <w:pPr>
      <w:spacing w:after="120" w:line="240" w:lineRule="auto"/>
      <w:ind w:firstLine="420" w:firstLineChars="100"/>
    </w:pPr>
    <w:rPr>
      <w:sz w:val="20"/>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basedOn w:val="44"/>
    <w:unhideWhenUsed/>
    <w:qFormat/>
    <w:uiPriority w:val="99"/>
    <w:rPr>
      <w:color w:val="800080"/>
      <w:u w:val="single"/>
    </w:rPr>
  </w:style>
  <w:style w:type="character" w:styleId="48">
    <w:name w:val="Hyperlink"/>
    <w:basedOn w:val="44"/>
    <w:qFormat/>
    <w:uiPriority w:val="0"/>
    <w:rPr>
      <w:color w:val="0000FF"/>
      <w:u w:val="single"/>
    </w:rPr>
  </w:style>
  <w:style w:type="character" w:styleId="49">
    <w:name w:val="annotation reference"/>
    <w:qFormat/>
    <w:uiPriority w:val="0"/>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页眉 字符"/>
    <w:basedOn w:val="44"/>
    <w:link w:val="29"/>
    <w:qFormat/>
    <w:uiPriority w:val="99"/>
    <w:rPr>
      <w:sz w:val="18"/>
      <w:szCs w:val="18"/>
    </w:rPr>
  </w:style>
  <w:style w:type="character" w:customStyle="1" w:styleId="52">
    <w:name w:val="页脚 字符"/>
    <w:basedOn w:val="44"/>
    <w:link w:val="28"/>
    <w:qFormat/>
    <w:uiPriority w:val="99"/>
    <w:rPr>
      <w:sz w:val="18"/>
      <w:szCs w:val="18"/>
    </w:rPr>
  </w:style>
  <w:style w:type="character" w:customStyle="1" w:styleId="53">
    <w:name w:val="标题 1 字符"/>
    <w:basedOn w:val="44"/>
    <w:link w:val="4"/>
    <w:qFormat/>
    <w:uiPriority w:val="9"/>
    <w:rPr>
      <w:rFonts w:ascii="宋体" w:hAnsi="宋体" w:eastAsia="黑体" w:cs="Times New Roman"/>
      <w:b/>
      <w:bCs/>
      <w:kern w:val="44"/>
      <w:sz w:val="28"/>
      <w:szCs w:val="44"/>
    </w:rPr>
  </w:style>
  <w:style w:type="character" w:customStyle="1" w:styleId="54">
    <w:name w:val="标题 2 字符"/>
    <w:basedOn w:val="44"/>
    <w:link w:val="5"/>
    <w:qFormat/>
    <w:uiPriority w:val="0"/>
    <w:rPr>
      <w:rFonts w:ascii="宋体" w:hAnsi="宋体" w:eastAsia="宋体" w:cs="Times New Roman"/>
      <w:b/>
      <w:bCs/>
      <w:kern w:val="0"/>
      <w:sz w:val="24"/>
      <w:szCs w:val="20"/>
    </w:rPr>
  </w:style>
  <w:style w:type="character" w:customStyle="1" w:styleId="55">
    <w:name w:val="标题 3 Char"/>
    <w:basedOn w:val="44"/>
    <w:qFormat/>
    <w:uiPriority w:val="9"/>
    <w:rPr>
      <w:rFonts w:ascii="Calibri" w:hAnsi="Calibri" w:eastAsia="宋体" w:cs="Times New Roman"/>
      <w:b/>
      <w:bCs/>
      <w:sz w:val="32"/>
      <w:szCs w:val="32"/>
    </w:rPr>
  </w:style>
  <w:style w:type="character" w:customStyle="1" w:styleId="56">
    <w:name w:val="标题 4 字符"/>
    <w:basedOn w:val="44"/>
    <w:link w:val="7"/>
    <w:qFormat/>
    <w:uiPriority w:val="0"/>
    <w:rPr>
      <w:rFonts w:ascii="Arial" w:hAnsi="Arial" w:eastAsia="黑体" w:cs="Times New Roman"/>
      <w:b/>
      <w:bCs/>
      <w:kern w:val="0"/>
      <w:sz w:val="28"/>
      <w:szCs w:val="28"/>
    </w:rPr>
  </w:style>
  <w:style w:type="character" w:customStyle="1" w:styleId="57">
    <w:name w:val="标题 5 字符"/>
    <w:basedOn w:val="44"/>
    <w:link w:val="8"/>
    <w:qFormat/>
    <w:uiPriority w:val="0"/>
    <w:rPr>
      <w:rFonts w:ascii="Times New Roman" w:hAnsi="Times New Roman" w:eastAsia="宋体" w:cs="Times New Roman"/>
      <w:b/>
      <w:kern w:val="0"/>
      <w:sz w:val="28"/>
      <w:szCs w:val="20"/>
    </w:rPr>
  </w:style>
  <w:style w:type="character" w:customStyle="1" w:styleId="58">
    <w:name w:val="标题 6 字符"/>
    <w:basedOn w:val="44"/>
    <w:link w:val="10"/>
    <w:qFormat/>
    <w:uiPriority w:val="0"/>
    <w:rPr>
      <w:rFonts w:ascii="Arial" w:hAnsi="Arial" w:eastAsia="黑体" w:cs="Times New Roman"/>
      <w:b/>
      <w:kern w:val="0"/>
      <w:sz w:val="24"/>
      <w:szCs w:val="20"/>
    </w:rPr>
  </w:style>
  <w:style w:type="character" w:customStyle="1" w:styleId="59">
    <w:name w:val="标题 7 字符"/>
    <w:basedOn w:val="44"/>
    <w:link w:val="11"/>
    <w:qFormat/>
    <w:uiPriority w:val="0"/>
    <w:rPr>
      <w:rFonts w:ascii="Times New Roman" w:hAnsi="Times New Roman" w:eastAsia="宋体" w:cs="Times New Roman"/>
      <w:b/>
      <w:kern w:val="0"/>
      <w:sz w:val="24"/>
      <w:szCs w:val="20"/>
    </w:rPr>
  </w:style>
  <w:style w:type="character" w:customStyle="1" w:styleId="60">
    <w:name w:val="标题 8 字符"/>
    <w:basedOn w:val="44"/>
    <w:link w:val="12"/>
    <w:qFormat/>
    <w:uiPriority w:val="0"/>
    <w:rPr>
      <w:rFonts w:ascii="Arial" w:hAnsi="Arial" w:eastAsia="黑体" w:cs="Times New Roman"/>
      <w:kern w:val="0"/>
      <w:sz w:val="24"/>
      <w:szCs w:val="20"/>
    </w:rPr>
  </w:style>
  <w:style w:type="character" w:customStyle="1" w:styleId="61">
    <w:name w:val="标题 9 字符"/>
    <w:basedOn w:val="44"/>
    <w:link w:val="13"/>
    <w:qFormat/>
    <w:uiPriority w:val="0"/>
    <w:rPr>
      <w:rFonts w:ascii="Arial" w:hAnsi="Arial" w:eastAsia="黑体" w:cs="Times New Roman"/>
      <w:kern w:val="0"/>
      <w:sz w:val="20"/>
      <w:szCs w:val="20"/>
    </w:rPr>
  </w:style>
  <w:style w:type="character" w:customStyle="1" w:styleId="62">
    <w:name w:val="标题 3 字符"/>
    <w:link w:val="6"/>
    <w:qFormat/>
    <w:uiPriority w:val="0"/>
    <w:rPr>
      <w:rFonts w:ascii="宋体" w:hAnsi="宋体" w:eastAsia="宋体" w:cs="Times New Roman"/>
      <w:b/>
      <w:bCs/>
      <w:kern w:val="0"/>
      <w:sz w:val="28"/>
      <w:szCs w:val="32"/>
    </w:rPr>
  </w:style>
  <w:style w:type="character" w:customStyle="1" w:styleId="63">
    <w:name w:val="--规划正文 Char Char"/>
    <w:qFormat/>
    <w:uiPriority w:val="0"/>
    <w:rPr>
      <w:rFonts w:eastAsia="宋体"/>
      <w:kern w:val="2"/>
      <w:sz w:val="24"/>
      <w:szCs w:val="24"/>
      <w:lang w:val="en-US" w:eastAsia="zh-CN" w:bidi="ar-SA"/>
    </w:rPr>
  </w:style>
  <w:style w:type="character" w:customStyle="1" w:styleId="64">
    <w:name w:val="grame"/>
    <w:basedOn w:val="44"/>
    <w:qFormat/>
    <w:uiPriority w:val="0"/>
  </w:style>
  <w:style w:type="character" w:customStyle="1" w:styleId="65">
    <w:name w:val="font"/>
    <w:basedOn w:val="44"/>
    <w:qFormat/>
    <w:uiPriority w:val="0"/>
  </w:style>
  <w:style w:type="character" w:customStyle="1" w:styleId="66">
    <w:name w:val="font2"/>
    <w:basedOn w:val="44"/>
    <w:qFormat/>
    <w:uiPriority w:val="0"/>
  </w:style>
  <w:style w:type="character" w:customStyle="1" w:styleId="67">
    <w:name w:val="unnamed4"/>
    <w:basedOn w:val="44"/>
    <w:qFormat/>
    <w:uiPriority w:val="0"/>
  </w:style>
  <w:style w:type="character" w:customStyle="1" w:styleId="68">
    <w:name w:val="样式 小三 加粗"/>
    <w:qFormat/>
    <w:uiPriority w:val="0"/>
    <w:rPr>
      <w:rFonts w:eastAsia="宋体"/>
      <w:b/>
      <w:bCs/>
      <w:sz w:val="32"/>
    </w:rPr>
  </w:style>
  <w:style w:type="character" w:customStyle="1" w:styleId="69">
    <w:name w:val="z-窗体顶端 Char"/>
    <w:basedOn w:val="44"/>
    <w:qFormat/>
    <w:uiPriority w:val="0"/>
    <w:rPr>
      <w:rFonts w:ascii="Arial" w:hAnsi="Arial" w:eastAsia="宋体" w:cs="Times New Roman"/>
      <w:vanish/>
      <w:kern w:val="0"/>
      <w:sz w:val="16"/>
      <w:szCs w:val="16"/>
      <w:lang w:val="en-US" w:eastAsia="zh-CN"/>
    </w:rPr>
  </w:style>
  <w:style w:type="paragraph" w:customStyle="1" w:styleId="70">
    <w:name w:val="z-窗体顶端1"/>
    <w:basedOn w:val="1"/>
    <w:next w:val="1"/>
    <w:link w:val="180"/>
    <w:qFormat/>
    <w:uiPriority w:val="0"/>
    <w:pPr>
      <w:widowControl/>
      <w:pBdr>
        <w:bottom w:val="single" w:color="auto" w:sz="6" w:space="1"/>
      </w:pBdr>
      <w:jc w:val="center"/>
    </w:pPr>
    <w:rPr>
      <w:rFonts w:ascii="Arial" w:hAnsi="Arial"/>
      <w:vanish/>
      <w:kern w:val="0"/>
      <w:sz w:val="16"/>
      <w:szCs w:val="16"/>
    </w:rPr>
  </w:style>
  <w:style w:type="character" w:customStyle="1" w:styleId="71">
    <w:name w:val="批注文字 Char"/>
    <w:basedOn w:val="44"/>
    <w:qFormat/>
    <w:uiPriority w:val="0"/>
    <w:rPr>
      <w:rFonts w:ascii="宋体" w:hAnsi="Times New Roman" w:eastAsia="宋体" w:cs="Times New Roman"/>
      <w:kern w:val="0"/>
      <w:sz w:val="34"/>
      <w:szCs w:val="20"/>
    </w:rPr>
  </w:style>
  <w:style w:type="character" w:customStyle="1" w:styleId="72">
    <w:name w:val="标题 Char"/>
    <w:basedOn w:val="44"/>
    <w:qFormat/>
    <w:uiPriority w:val="0"/>
    <w:rPr>
      <w:rFonts w:ascii="Arial" w:hAnsi="Arial" w:eastAsia="隶书" w:cs="Times New Roman"/>
      <w:b/>
      <w:bCs/>
      <w:kern w:val="0"/>
      <w:sz w:val="32"/>
      <w:szCs w:val="32"/>
    </w:rPr>
  </w:style>
  <w:style w:type="character" w:customStyle="1" w:styleId="73">
    <w:name w:val="正文文本 Char"/>
    <w:basedOn w:val="44"/>
    <w:semiHidden/>
    <w:qFormat/>
    <w:uiPriority w:val="99"/>
    <w:rPr>
      <w:rFonts w:ascii="Calibri" w:hAnsi="Calibri" w:eastAsia="宋体" w:cs="Times New Roman"/>
    </w:rPr>
  </w:style>
  <w:style w:type="character" w:customStyle="1" w:styleId="74">
    <w:name w:val="正文缩进 字符"/>
    <w:link w:val="9"/>
    <w:qFormat/>
    <w:uiPriority w:val="0"/>
    <w:rPr>
      <w:rFonts w:ascii="Times New Roman" w:hAnsi="Times New Roman" w:eastAsia="宋体" w:cs="Times New Roman"/>
      <w:kern w:val="0"/>
      <w:sz w:val="20"/>
      <w:szCs w:val="20"/>
    </w:rPr>
  </w:style>
  <w:style w:type="character" w:customStyle="1" w:styleId="75">
    <w:name w:val="日期 Char"/>
    <w:basedOn w:val="44"/>
    <w:qFormat/>
    <w:uiPriority w:val="0"/>
    <w:rPr>
      <w:rFonts w:ascii="宋体" w:hAnsi="Courier New" w:eastAsia="宋体" w:cs="Times New Roman"/>
      <w:kern w:val="0"/>
      <w:sz w:val="32"/>
      <w:szCs w:val="20"/>
    </w:rPr>
  </w:style>
  <w:style w:type="character" w:customStyle="1" w:styleId="76">
    <w:name w:val="正文文字首行缩进 Char"/>
    <w:qFormat/>
    <w:uiPriority w:val="0"/>
    <w:rPr>
      <w:kern w:val="2"/>
      <w:sz w:val="21"/>
      <w:szCs w:val="24"/>
    </w:rPr>
  </w:style>
  <w:style w:type="character" w:customStyle="1" w:styleId="77">
    <w:name w:val="unnamed3"/>
    <w:basedOn w:val="44"/>
    <w:qFormat/>
    <w:uiPriority w:val="0"/>
  </w:style>
  <w:style w:type="character" w:customStyle="1" w:styleId="78">
    <w:name w:val="批注主题 Char"/>
    <w:basedOn w:val="71"/>
    <w:qFormat/>
    <w:uiPriority w:val="99"/>
    <w:rPr>
      <w:rFonts w:ascii="Times New Roman" w:hAnsi="Times New Roman" w:eastAsia="宋体" w:cs="Times New Roman"/>
      <w:b/>
      <w:bCs/>
      <w:kern w:val="0"/>
      <w:sz w:val="34"/>
      <w:szCs w:val="24"/>
    </w:rPr>
  </w:style>
  <w:style w:type="character" w:customStyle="1" w:styleId="79">
    <w:name w:val="gray6"/>
    <w:basedOn w:val="44"/>
    <w:qFormat/>
    <w:uiPriority w:val="0"/>
  </w:style>
  <w:style w:type="character" w:customStyle="1" w:styleId="80">
    <w:name w:val="纯文本 Char"/>
    <w:basedOn w:val="44"/>
    <w:qFormat/>
    <w:uiPriority w:val="0"/>
    <w:rPr>
      <w:rFonts w:ascii="宋体" w:hAnsi="Courier New" w:eastAsia="宋体" w:cs="Times New Roman"/>
      <w:kern w:val="0"/>
      <w:sz w:val="20"/>
      <w:szCs w:val="20"/>
    </w:rPr>
  </w:style>
  <w:style w:type="character" w:customStyle="1" w:styleId="81">
    <w:name w:val="正文文本缩进 Char"/>
    <w:basedOn w:val="44"/>
    <w:qFormat/>
    <w:uiPriority w:val="0"/>
    <w:rPr>
      <w:rFonts w:ascii="Times New Roman" w:hAnsi="Times New Roman" w:eastAsia="宋体" w:cs="Times New Roman"/>
      <w:kern w:val="0"/>
      <w:sz w:val="20"/>
      <w:szCs w:val="24"/>
    </w:rPr>
  </w:style>
  <w:style w:type="character" w:customStyle="1" w:styleId="82">
    <w:name w:val="正文文本 2 Char"/>
    <w:basedOn w:val="44"/>
    <w:qFormat/>
    <w:uiPriority w:val="0"/>
    <w:rPr>
      <w:rFonts w:ascii="Times New Roman" w:hAnsi="Times New Roman" w:eastAsia="宋体" w:cs="Times New Roman"/>
      <w:kern w:val="0"/>
      <w:sz w:val="24"/>
      <w:szCs w:val="24"/>
    </w:rPr>
  </w:style>
  <w:style w:type="character" w:customStyle="1" w:styleId="83">
    <w:name w:val="标题 3 Char Char"/>
    <w:qFormat/>
    <w:uiPriority w:val="0"/>
    <w:rPr>
      <w:rFonts w:eastAsia="宋体"/>
      <w:b/>
      <w:bCs/>
      <w:kern w:val="2"/>
      <w:sz w:val="32"/>
      <w:szCs w:val="32"/>
      <w:lang w:val="en-US" w:eastAsia="zh-CN" w:bidi="ar-SA"/>
    </w:rPr>
  </w:style>
  <w:style w:type="character" w:customStyle="1" w:styleId="84">
    <w:name w:val="--规划正文 Char1"/>
    <w:qFormat/>
    <w:uiPriority w:val="0"/>
    <w:rPr>
      <w:rFonts w:eastAsia="宋体"/>
      <w:kern w:val="2"/>
      <w:sz w:val="21"/>
      <w:lang w:val="en-US" w:eastAsia="zh-CN" w:bidi="ar-SA"/>
    </w:rPr>
  </w:style>
  <w:style w:type="character" w:customStyle="1" w:styleId="85">
    <w:name w:val="正文首行缩进 Char"/>
    <w:basedOn w:val="73"/>
    <w:qFormat/>
    <w:uiPriority w:val="0"/>
    <w:rPr>
      <w:rFonts w:ascii="Times New Roman" w:hAnsi="Times New Roman" w:eastAsia="宋体" w:cs="Times New Roman"/>
      <w:b/>
      <w:bCs/>
      <w:kern w:val="0"/>
      <w:sz w:val="20"/>
      <w:szCs w:val="24"/>
      <w:lang w:val="en-US" w:eastAsia="zh-CN"/>
    </w:rPr>
  </w:style>
  <w:style w:type="character" w:customStyle="1" w:styleId="86">
    <w:name w:val="z-窗体底端 Char"/>
    <w:basedOn w:val="44"/>
    <w:qFormat/>
    <w:uiPriority w:val="0"/>
    <w:rPr>
      <w:rFonts w:ascii="Arial" w:hAnsi="Arial" w:eastAsia="宋体" w:cs="Times New Roman"/>
      <w:vanish/>
      <w:kern w:val="0"/>
      <w:sz w:val="16"/>
      <w:szCs w:val="16"/>
      <w:lang w:val="en-US" w:eastAsia="zh-CN"/>
    </w:rPr>
  </w:style>
  <w:style w:type="paragraph" w:customStyle="1" w:styleId="87">
    <w:name w:val="z-窗体底端1"/>
    <w:basedOn w:val="1"/>
    <w:next w:val="1"/>
    <w:link w:val="200"/>
    <w:qFormat/>
    <w:uiPriority w:val="0"/>
    <w:pPr>
      <w:widowControl/>
      <w:pBdr>
        <w:top w:val="single" w:color="auto" w:sz="6" w:space="1"/>
      </w:pBdr>
      <w:jc w:val="center"/>
    </w:pPr>
    <w:rPr>
      <w:rFonts w:ascii="Arial" w:hAnsi="Arial"/>
      <w:vanish/>
      <w:kern w:val="0"/>
      <w:sz w:val="16"/>
      <w:szCs w:val="16"/>
    </w:rPr>
  </w:style>
  <w:style w:type="character" w:customStyle="1" w:styleId="88">
    <w:name w:val="HTML 预设格式 Char"/>
    <w:basedOn w:val="44"/>
    <w:qFormat/>
    <w:uiPriority w:val="0"/>
    <w:rPr>
      <w:rFonts w:ascii="Arial Unicode MS" w:hAnsi="Arial Unicode MS" w:eastAsia="Arial Unicode MS" w:cs="Times New Roman"/>
      <w:color w:val="000000"/>
      <w:kern w:val="0"/>
      <w:sz w:val="20"/>
      <w:szCs w:val="20"/>
    </w:rPr>
  </w:style>
  <w:style w:type="character" w:customStyle="1" w:styleId="89">
    <w:name w:val="H4 Char2"/>
    <w:qFormat/>
    <w:uiPriority w:val="0"/>
    <w:rPr>
      <w:rFonts w:ascii="Arial" w:hAnsi="Arial" w:eastAsia="黑体"/>
      <w:b/>
      <w:bCs/>
      <w:kern w:val="2"/>
      <w:sz w:val="28"/>
      <w:szCs w:val="28"/>
      <w:lang w:val="en-US" w:eastAsia="zh-CN" w:bidi="ar-SA"/>
    </w:rPr>
  </w:style>
  <w:style w:type="character" w:customStyle="1" w:styleId="90">
    <w:name w:val="正文文本 Char1"/>
    <w:qFormat/>
    <w:uiPriority w:val="0"/>
    <w:rPr>
      <w:rFonts w:ascii="Times New Roman" w:hAnsi="Times New Roman" w:eastAsia="宋体" w:cs="Times New Roman"/>
      <w:b/>
      <w:bCs/>
      <w:kern w:val="0"/>
      <w:sz w:val="24"/>
      <w:szCs w:val="24"/>
    </w:rPr>
  </w:style>
  <w:style w:type="character" w:customStyle="1" w:styleId="91">
    <w:name w:val="body text Char1"/>
    <w:qFormat/>
    <w:uiPriority w:val="0"/>
    <w:rPr>
      <w:rFonts w:eastAsia="宋体"/>
      <w:kern w:val="2"/>
      <w:sz w:val="21"/>
      <w:lang w:val="en-US" w:eastAsia="zh-CN" w:bidi="ar-SA"/>
    </w:rPr>
  </w:style>
  <w:style w:type="character" w:customStyle="1" w:styleId="92">
    <w:name w:val="文档结构图 Char"/>
    <w:basedOn w:val="44"/>
    <w:semiHidden/>
    <w:qFormat/>
    <w:uiPriority w:val="0"/>
    <w:rPr>
      <w:rFonts w:ascii="Times New Roman" w:hAnsi="Times New Roman" w:eastAsia="宋体" w:cs="Times New Roman"/>
      <w:kern w:val="0"/>
      <w:sz w:val="20"/>
      <w:szCs w:val="24"/>
      <w:shd w:val="clear" w:color="auto" w:fill="000080"/>
    </w:rPr>
  </w:style>
  <w:style w:type="character" w:customStyle="1" w:styleId="93">
    <w:name w:val="正文文本 3 Char"/>
    <w:basedOn w:val="44"/>
    <w:qFormat/>
    <w:uiPriority w:val="0"/>
    <w:rPr>
      <w:rFonts w:ascii="Times New Roman" w:hAnsi="Times New Roman" w:eastAsia="宋体" w:cs="Times New Roman"/>
      <w:kern w:val="0"/>
      <w:sz w:val="16"/>
      <w:szCs w:val="16"/>
    </w:rPr>
  </w:style>
  <w:style w:type="character" w:customStyle="1" w:styleId="94">
    <w:name w:val="blue"/>
    <w:basedOn w:val="44"/>
    <w:qFormat/>
    <w:uiPriority w:val="0"/>
  </w:style>
  <w:style w:type="character" w:customStyle="1" w:styleId="95">
    <w:name w:val="proddescription"/>
    <w:basedOn w:val="44"/>
    <w:qFormat/>
    <w:uiPriority w:val="0"/>
  </w:style>
  <w:style w:type="character" w:customStyle="1" w:styleId="96">
    <w:name w:val="缩进正文 Char"/>
    <w:link w:val="97"/>
    <w:qFormat/>
    <w:uiPriority w:val="0"/>
    <w:rPr>
      <w:rFonts w:ascii="Times New Roman" w:hAnsi="Times New Roman" w:eastAsia="仿宋_GB2312" w:cs="Times New Roman"/>
      <w:kern w:val="0"/>
      <w:sz w:val="28"/>
      <w:szCs w:val="20"/>
    </w:rPr>
  </w:style>
  <w:style w:type="paragraph" w:customStyle="1" w:styleId="97">
    <w:name w:val="缩进正文"/>
    <w:basedOn w:val="1"/>
    <w:link w:val="96"/>
    <w:qFormat/>
    <w:uiPriority w:val="0"/>
    <w:pPr>
      <w:ind w:firstLine="560" w:firstLineChars="200"/>
    </w:pPr>
    <w:rPr>
      <w:rFonts w:ascii="Times New Roman" w:hAnsi="Times New Roman" w:eastAsia="仿宋_GB2312"/>
      <w:kern w:val="0"/>
      <w:sz w:val="28"/>
      <w:szCs w:val="20"/>
    </w:rPr>
  </w:style>
  <w:style w:type="character" w:customStyle="1" w:styleId="98">
    <w:name w:val="style9"/>
    <w:basedOn w:val="44"/>
    <w:qFormat/>
    <w:uiPriority w:val="0"/>
  </w:style>
  <w:style w:type="character" w:customStyle="1" w:styleId="99">
    <w:name w:val="prodheadlines"/>
    <w:basedOn w:val="44"/>
    <w:qFormat/>
    <w:uiPriority w:val="0"/>
  </w:style>
  <w:style w:type="character" w:customStyle="1" w:styleId="100">
    <w:name w:val="content1"/>
    <w:qFormat/>
    <w:uiPriority w:val="0"/>
    <w:rPr>
      <w:rFonts w:hint="default" w:ascii="??" w:hAnsi="??"/>
      <w:sz w:val="16"/>
      <w:szCs w:val="16"/>
      <w:u w:val="none"/>
    </w:rPr>
  </w:style>
  <w:style w:type="character" w:customStyle="1" w:styleId="101">
    <w:name w:val="正文文本缩进 3 Char"/>
    <w:basedOn w:val="44"/>
    <w:qFormat/>
    <w:uiPriority w:val="0"/>
    <w:rPr>
      <w:rFonts w:ascii="宋体" w:hAnsi="Times New Roman" w:eastAsia="宋体" w:cs="Times New Roman"/>
      <w:b/>
      <w:bCs/>
      <w:kern w:val="0"/>
      <w:sz w:val="24"/>
      <w:szCs w:val="24"/>
    </w:rPr>
  </w:style>
  <w:style w:type="character" w:customStyle="1" w:styleId="102">
    <w:name w:val="章标题1 Char"/>
    <w:qFormat/>
    <w:uiPriority w:val="0"/>
    <w:rPr>
      <w:rFonts w:eastAsia="宋体"/>
      <w:b/>
      <w:bCs/>
      <w:kern w:val="2"/>
      <w:sz w:val="32"/>
      <w:szCs w:val="32"/>
      <w:lang w:val="en-US" w:eastAsia="zh-CN" w:bidi="ar-SA"/>
    </w:rPr>
  </w:style>
  <w:style w:type="character" w:customStyle="1" w:styleId="103">
    <w:name w:val="font41"/>
    <w:qFormat/>
    <w:uiPriority w:val="0"/>
    <w:rPr>
      <w:color w:val="000000"/>
      <w:spacing w:val="260"/>
      <w:sz w:val="18"/>
      <w:szCs w:val="18"/>
      <w:u w:val="none"/>
    </w:rPr>
  </w:style>
  <w:style w:type="character" w:customStyle="1" w:styleId="104">
    <w:name w:val="alt-edited1"/>
    <w:qFormat/>
    <w:uiPriority w:val="0"/>
    <w:rPr>
      <w:color w:val="4D90F0"/>
    </w:rPr>
  </w:style>
  <w:style w:type="character" w:customStyle="1" w:styleId="105">
    <w:name w:val="info4"/>
    <w:basedOn w:val="44"/>
    <w:qFormat/>
    <w:uiPriority w:val="0"/>
  </w:style>
  <w:style w:type="character" w:customStyle="1" w:styleId="106">
    <w:name w:val="第*章 Char"/>
    <w:qFormat/>
    <w:uiPriority w:val="0"/>
    <w:rPr>
      <w:rFonts w:ascii="Arial" w:hAnsi="Arial" w:eastAsia="黑体"/>
      <w:b/>
      <w:bCs/>
      <w:kern w:val="2"/>
      <w:sz w:val="32"/>
      <w:szCs w:val="32"/>
    </w:rPr>
  </w:style>
  <w:style w:type="character" w:customStyle="1" w:styleId="107">
    <w:name w:val="text"/>
    <w:basedOn w:val="44"/>
    <w:qFormat/>
    <w:uiPriority w:val="0"/>
  </w:style>
  <w:style w:type="character" w:customStyle="1" w:styleId="108">
    <w:name w:val="正文文本缩进 2 Char"/>
    <w:basedOn w:val="44"/>
    <w:qFormat/>
    <w:uiPriority w:val="0"/>
    <w:rPr>
      <w:rFonts w:ascii="宋体" w:hAnsi="宋体" w:eastAsia="宋体" w:cs="Times New Roman"/>
      <w:kern w:val="0"/>
      <w:sz w:val="20"/>
      <w:szCs w:val="24"/>
    </w:rPr>
  </w:style>
  <w:style w:type="character" w:customStyle="1" w:styleId="109">
    <w:name w:val="font11"/>
    <w:qFormat/>
    <w:uiPriority w:val="0"/>
    <w:rPr>
      <w:rFonts w:hint="default" w:ascii="ˎ̥" w:hAnsi="ˎ̥"/>
    </w:rPr>
  </w:style>
  <w:style w:type="character" w:customStyle="1" w:styleId="110">
    <w:name w:val="批注框文本 Char"/>
    <w:basedOn w:val="44"/>
    <w:qFormat/>
    <w:uiPriority w:val="99"/>
    <w:rPr>
      <w:rFonts w:ascii="Times New Roman" w:hAnsi="Times New Roman" w:eastAsia="宋体" w:cs="Times New Roman"/>
      <w:kern w:val="0"/>
      <w:sz w:val="18"/>
      <w:szCs w:val="18"/>
    </w:rPr>
  </w:style>
  <w:style w:type="character" w:customStyle="1" w:styleId="111">
    <w:name w:val="mode"/>
    <w:basedOn w:val="44"/>
    <w:qFormat/>
    <w:uiPriority w:val="0"/>
  </w:style>
  <w:style w:type="character" w:customStyle="1" w:styleId="112">
    <w:name w:val="正文文本 3 字符"/>
    <w:basedOn w:val="44"/>
    <w:link w:val="19"/>
    <w:semiHidden/>
    <w:qFormat/>
    <w:uiPriority w:val="99"/>
    <w:rPr>
      <w:rFonts w:ascii="Calibri" w:hAnsi="Calibri" w:eastAsia="宋体" w:cs="Times New Roman"/>
      <w:sz w:val="16"/>
      <w:szCs w:val="16"/>
    </w:rPr>
  </w:style>
  <w:style w:type="character" w:customStyle="1" w:styleId="113">
    <w:name w:val="纯文本 字符"/>
    <w:basedOn w:val="44"/>
    <w:link w:val="23"/>
    <w:semiHidden/>
    <w:qFormat/>
    <w:uiPriority w:val="99"/>
    <w:rPr>
      <w:rFonts w:ascii="宋体" w:hAnsi="Courier New" w:eastAsia="宋体" w:cs="Courier New"/>
      <w:szCs w:val="21"/>
    </w:rPr>
  </w:style>
  <w:style w:type="character" w:customStyle="1" w:styleId="114">
    <w:name w:val="文档结构图 字符"/>
    <w:basedOn w:val="44"/>
    <w:link w:val="17"/>
    <w:semiHidden/>
    <w:qFormat/>
    <w:uiPriority w:val="99"/>
    <w:rPr>
      <w:rFonts w:ascii="宋体" w:hAnsi="Calibri" w:eastAsia="宋体" w:cs="Times New Roman"/>
      <w:sz w:val="18"/>
      <w:szCs w:val="18"/>
    </w:rPr>
  </w:style>
  <w:style w:type="character" w:customStyle="1" w:styleId="115">
    <w:name w:val="日期 字符"/>
    <w:basedOn w:val="44"/>
    <w:link w:val="25"/>
    <w:semiHidden/>
    <w:qFormat/>
    <w:uiPriority w:val="99"/>
    <w:rPr>
      <w:rFonts w:ascii="Calibri" w:hAnsi="Calibri" w:eastAsia="宋体" w:cs="Times New Roman"/>
    </w:rPr>
  </w:style>
  <w:style w:type="character" w:customStyle="1" w:styleId="116">
    <w:name w:val="正文文本 字符"/>
    <w:basedOn w:val="44"/>
    <w:link w:val="2"/>
    <w:semiHidden/>
    <w:qFormat/>
    <w:uiPriority w:val="99"/>
    <w:rPr>
      <w:rFonts w:ascii="Calibri" w:hAnsi="Calibri" w:eastAsia="宋体" w:cs="Times New Roman"/>
    </w:rPr>
  </w:style>
  <w:style w:type="character" w:customStyle="1" w:styleId="117">
    <w:name w:val="正文文本缩进 字符"/>
    <w:basedOn w:val="44"/>
    <w:link w:val="20"/>
    <w:semiHidden/>
    <w:qFormat/>
    <w:uiPriority w:val="99"/>
    <w:rPr>
      <w:rFonts w:ascii="Calibri" w:hAnsi="Calibri" w:eastAsia="宋体" w:cs="Times New Roman"/>
    </w:rPr>
  </w:style>
  <w:style w:type="character" w:customStyle="1" w:styleId="118">
    <w:name w:val="批注文字 字符"/>
    <w:basedOn w:val="44"/>
    <w:link w:val="18"/>
    <w:semiHidden/>
    <w:qFormat/>
    <w:uiPriority w:val="99"/>
    <w:rPr>
      <w:rFonts w:ascii="Calibri" w:hAnsi="Calibri" w:eastAsia="宋体" w:cs="Times New Roman"/>
    </w:rPr>
  </w:style>
  <w:style w:type="character" w:customStyle="1" w:styleId="119">
    <w:name w:val="HTML 预设格式 字符"/>
    <w:basedOn w:val="44"/>
    <w:link w:val="36"/>
    <w:semiHidden/>
    <w:qFormat/>
    <w:uiPriority w:val="99"/>
    <w:rPr>
      <w:rFonts w:ascii="Courier New" w:hAnsi="Courier New" w:eastAsia="宋体" w:cs="Courier New"/>
      <w:sz w:val="20"/>
      <w:szCs w:val="20"/>
    </w:rPr>
  </w:style>
  <w:style w:type="character" w:customStyle="1" w:styleId="120">
    <w:name w:val="正文文本缩进 2 字符"/>
    <w:basedOn w:val="44"/>
    <w:link w:val="26"/>
    <w:semiHidden/>
    <w:qFormat/>
    <w:uiPriority w:val="99"/>
    <w:rPr>
      <w:rFonts w:ascii="Calibri" w:hAnsi="Calibri" w:eastAsia="宋体" w:cs="Times New Roman"/>
    </w:rPr>
  </w:style>
  <w:style w:type="character" w:customStyle="1" w:styleId="121">
    <w:name w:val="正文文本 2 字符"/>
    <w:basedOn w:val="44"/>
    <w:link w:val="3"/>
    <w:semiHidden/>
    <w:qFormat/>
    <w:uiPriority w:val="99"/>
    <w:rPr>
      <w:rFonts w:ascii="Calibri" w:hAnsi="Calibri" w:eastAsia="宋体" w:cs="Times New Roman"/>
    </w:rPr>
  </w:style>
  <w:style w:type="character" w:customStyle="1" w:styleId="122">
    <w:name w:val="批注框文本 字符"/>
    <w:basedOn w:val="44"/>
    <w:link w:val="27"/>
    <w:semiHidden/>
    <w:qFormat/>
    <w:uiPriority w:val="99"/>
    <w:rPr>
      <w:rFonts w:ascii="Calibri" w:hAnsi="Calibri" w:eastAsia="宋体" w:cs="Times New Roman"/>
      <w:sz w:val="18"/>
      <w:szCs w:val="18"/>
    </w:rPr>
  </w:style>
  <w:style w:type="character" w:customStyle="1" w:styleId="123">
    <w:name w:val="正文文本缩进 3 字符"/>
    <w:basedOn w:val="44"/>
    <w:link w:val="33"/>
    <w:semiHidden/>
    <w:qFormat/>
    <w:uiPriority w:val="99"/>
    <w:rPr>
      <w:rFonts w:ascii="Calibri" w:hAnsi="Calibri" w:eastAsia="宋体" w:cs="Times New Roman"/>
      <w:sz w:val="16"/>
      <w:szCs w:val="16"/>
    </w:rPr>
  </w:style>
  <w:style w:type="character" w:customStyle="1" w:styleId="124">
    <w:name w:val="标题 字符"/>
    <w:basedOn w:val="44"/>
    <w:link w:val="39"/>
    <w:qFormat/>
    <w:uiPriority w:val="10"/>
    <w:rPr>
      <w:rFonts w:eastAsia="宋体" w:asciiTheme="majorHAnsi" w:hAnsiTheme="majorHAnsi" w:cstheme="majorBidi"/>
      <w:b/>
      <w:bCs/>
      <w:sz w:val="32"/>
      <w:szCs w:val="32"/>
    </w:rPr>
  </w:style>
  <w:style w:type="character" w:customStyle="1" w:styleId="125">
    <w:name w:val="批注主题 字符"/>
    <w:basedOn w:val="118"/>
    <w:link w:val="40"/>
    <w:semiHidden/>
    <w:qFormat/>
    <w:uiPriority w:val="99"/>
    <w:rPr>
      <w:rFonts w:ascii="Calibri" w:hAnsi="Calibri" w:eastAsia="宋体" w:cs="Times New Roman"/>
      <w:b/>
      <w:bCs/>
    </w:rPr>
  </w:style>
  <w:style w:type="character" w:customStyle="1" w:styleId="126">
    <w:name w:val="正文首行缩进 字符"/>
    <w:basedOn w:val="116"/>
    <w:link w:val="41"/>
    <w:semiHidden/>
    <w:qFormat/>
    <w:uiPriority w:val="99"/>
    <w:rPr>
      <w:rFonts w:ascii="Calibri" w:hAnsi="Calibri" w:eastAsia="宋体" w:cs="Times New Roman"/>
    </w:rPr>
  </w:style>
  <w:style w:type="paragraph" w:customStyle="1" w:styleId="12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28">
    <w:name w:val="编号1"/>
    <w:basedOn w:val="1"/>
    <w:qFormat/>
    <w:uiPriority w:val="0"/>
    <w:pPr>
      <w:tabs>
        <w:tab w:val="left" w:pos="360"/>
      </w:tabs>
      <w:adjustRightInd w:val="0"/>
      <w:spacing w:line="300" w:lineRule="auto"/>
      <w:ind w:left="360" w:right="210" w:hanging="360"/>
      <w:textAlignment w:val="center"/>
    </w:pPr>
    <w:rPr>
      <w:rFonts w:ascii="宋体" w:hAnsi="宋体"/>
      <w:snapToGrid w:val="0"/>
      <w:spacing w:val="10"/>
      <w:kern w:val="24"/>
      <w:szCs w:val="24"/>
    </w:rPr>
  </w:style>
  <w:style w:type="paragraph" w:customStyle="1" w:styleId="129">
    <w:name w:val="--规划正文"/>
    <w:basedOn w:val="1"/>
    <w:qFormat/>
    <w:uiPriority w:val="0"/>
    <w:pPr>
      <w:spacing w:line="360" w:lineRule="auto"/>
      <w:ind w:firstLine="200" w:firstLineChars="200"/>
    </w:pPr>
    <w:rPr>
      <w:rFonts w:ascii="Times New Roman" w:hAnsi="Times New Roman"/>
      <w:szCs w:val="20"/>
    </w:rPr>
  </w:style>
  <w:style w:type="paragraph" w:customStyle="1" w:styleId="13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9"/>
    <w:basedOn w:val="1"/>
    <w:next w:val="9"/>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34">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36">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8">
    <w:name w:val="样式 标题 2 + 段前: 13 磅 段后: 13 磅 行距: 单倍行距"/>
    <w:basedOn w:val="5"/>
    <w:qFormat/>
    <w:uiPriority w:val="0"/>
    <w:pPr>
      <w:adjustRightInd/>
      <w:jc w:val="both"/>
      <w:textAlignment w:val="auto"/>
    </w:pPr>
    <w:rPr>
      <w:rFonts w:ascii="Cambria" w:hAnsi="Cambria" w:cs="宋体"/>
      <w:sz w:val="32"/>
    </w:rPr>
  </w:style>
  <w:style w:type="paragraph" w:customStyle="1" w:styleId="139">
    <w:name w:val="RFI text from 3rd Level"/>
    <w:basedOn w:val="1"/>
    <w:qFormat/>
    <w:uiPriority w:val="0"/>
    <w:pPr>
      <w:widowControl/>
      <w:tabs>
        <w:tab w:val="left" w:pos="1080"/>
      </w:tabs>
      <w:spacing w:beforeLines="50" w:line="360" w:lineRule="auto"/>
    </w:pPr>
    <w:rPr>
      <w:rFonts w:ascii="Arial (W1)" w:hAnsi="Arial (W1)"/>
      <w:bCs/>
      <w:kern w:val="0"/>
      <w:sz w:val="24"/>
      <w:szCs w:val="24"/>
      <w:lang w:val="en-GB"/>
    </w:rPr>
  </w:style>
  <w:style w:type="paragraph" w:customStyle="1" w:styleId="140">
    <w:name w:val="列出段落1"/>
    <w:basedOn w:val="1"/>
    <w:link w:val="213"/>
    <w:qFormat/>
    <w:uiPriority w:val="0"/>
    <w:pPr>
      <w:ind w:firstLine="420" w:firstLineChars="200"/>
    </w:pPr>
    <w:rPr>
      <w:rFonts w:cs="Calibri"/>
      <w:szCs w:val="21"/>
    </w:rPr>
  </w:style>
  <w:style w:type="paragraph" w:customStyle="1" w:styleId="14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42">
    <w:name w:val="_Style 28"/>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设计依据"/>
    <w:basedOn w:val="2"/>
    <w:qFormat/>
    <w:uiPriority w:val="0"/>
    <w:pPr>
      <w:tabs>
        <w:tab w:val="left" w:pos="1440"/>
      </w:tabs>
      <w:adjustRightInd w:val="0"/>
      <w:ind w:left="1440" w:hanging="420"/>
      <w:textAlignment w:val="baseline"/>
    </w:pPr>
    <w:rPr>
      <w:rFonts w:ascii="宋体" w:hAnsi="宋体"/>
      <w:b w:val="0"/>
      <w:sz w:val="28"/>
      <w:szCs w:val="18"/>
    </w:rPr>
  </w:style>
  <w:style w:type="paragraph" w:styleId="144">
    <w:name w:val="List Paragraph"/>
    <w:basedOn w:val="1"/>
    <w:qFormat/>
    <w:uiPriority w:val="34"/>
    <w:pPr>
      <w:ind w:firstLine="420" w:firstLineChars="200"/>
    </w:pPr>
  </w:style>
  <w:style w:type="paragraph" w:customStyle="1" w:styleId="14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规划-小标题"/>
    <w:basedOn w:val="1"/>
    <w:next w:val="129"/>
    <w:qFormat/>
    <w:uiPriority w:val="0"/>
    <w:pPr>
      <w:keepNext/>
      <w:keepLines/>
      <w:spacing w:line="360" w:lineRule="auto"/>
      <w:outlineLvl w:val="4"/>
    </w:pPr>
    <w:rPr>
      <w:rFonts w:ascii="Times New Roman" w:hAnsi="Times New Roman" w:eastAsia="黑体"/>
      <w:szCs w:val="24"/>
    </w:rPr>
  </w:style>
  <w:style w:type="paragraph" w:customStyle="1" w:styleId="147">
    <w:name w:val="自定义正文"/>
    <w:basedOn w:val="1"/>
    <w:qFormat/>
    <w:uiPriority w:val="0"/>
    <w:pPr>
      <w:spacing w:afterLines="50"/>
      <w:ind w:left="600" w:leftChars="600"/>
    </w:pPr>
    <w:rPr>
      <w:rFonts w:ascii="Times New Roman" w:hAnsi="Times New Roman"/>
      <w:szCs w:val="24"/>
    </w:rPr>
  </w:style>
  <w:style w:type="paragraph" w:customStyle="1" w:styleId="148">
    <w:name w:val="段落正文"/>
    <w:basedOn w:val="23"/>
    <w:qFormat/>
    <w:uiPriority w:val="0"/>
    <w:pPr>
      <w:ind w:firstLine="560" w:firstLineChars="200"/>
    </w:pPr>
    <w:rPr>
      <w:sz w:val="28"/>
    </w:rPr>
  </w:style>
  <w:style w:type="paragraph" w:customStyle="1" w:styleId="149">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50">
    <w:name w:val="--规划-表格-居中"/>
    <w:basedOn w:val="129"/>
    <w:qFormat/>
    <w:uiPriority w:val="0"/>
    <w:pPr>
      <w:spacing w:line="240" w:lineRule="auto"/>
      <w:ind w:firstLine="0" w:firstLineChars="0"/>
      <w:jc w:val="center"/>
    </w:pPr>
    <w:rPr>
      <w:sz w:val="20"/>
    </w:rPr>
  </w:style>
  <w:style w:type="paragraph" w:customStyle="1" w:styleId="15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2">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53">
    <w:name w:val="正文文字缩进项目"/>
    <w:basedOn w:val="20"/>
    <w:qFormat/>
    <w:uiPriority w:val="0"/>
    <w:pPr>
      <w:tabs>
        <w:tab w:val="left" w:pos="840"/>
      </w:tabs>
      <w:spacing w:after="120" w:line="240" w:lineRule="auto"/>
      <w:ind w:left="840" w:firstLine="0" w:firstLineChars="0"/>
    </w:pPr>
    <w:rPr>
      <w:rFonts w:ascii="Tahoma" w:hAnsi="Tahoma"/>
      <w:sz w:val="22"/>
      <w:szCs w:val="20"/>
    </w:rPr>
  </w:style>
  <w:style w:type="paragraph" w:customStyle="1" w:styleId="154">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155">
    <w:name w:val="样式2"/>
    <w:basedOn w:val="39"/>
    <w:next w:val="156"/>
    <w:qFormat/>
    <w:uiPriority w:val="0"/>
    <w:pPr>
      <w:spacing w:before="120" w:after="120"/>
    </w:pPr>
    <w:rPr>
      <w:rFonts w:eastAsia="黑体"/>
      <w:b w:val="0"/>
      <w:sz w:val="30"/>
      <w:szCs w:val="30"/>
    </w:rPr>
  </w:style>
  <w:style w:type="paragraph" w:customStyle="1" w:styleId="156">
    <w:name w:val="样式1"/>
    <w:basedOn w:val="39"/>
    <w:qFormat/>
    <w:uiPriority w:val="0"/>
    <w:pPr>
      <w:spacing w:before="120" w:after="120"/>
    </w:pPr>
    <w:rPr>
      <w:rFonts w:eastAsia="黑体"/>
      <w:b w:val="0"/>
      <w:sz w:val="30"/>
      <w:szCs w:val="21"/>
    </w:rPr>
  </w:style>
  <w:style w:type="paragraph" w:customStyle="1" w:styleId="157">
    <w:name w:val="样式41"/>
    <w:basedOn w:val="1"/>
    <w:qFormat/>
    <w:uiPriority w:val="0"/>
    <w:pPr>
      <w:tabs>
        <w:tab w:val="left" w:pos="945"/>
        <w:tab w:val="left" w:pos="2040"/>
      </w:tabs>
      <w:spacing w:line="360" w:lineRule="auto"/>
      <w:ind w:left="2040" w:hanging="360"/>
    </w:pPr>
    <w:rPr>
      <w:rFonts w:ascii="Times New Roman" w:hAnsi="Times New Roman"/>
      <w:b/>
      <w:color w:val="000000"/>
      <w:sz w:val="24"/>
      <w:szCs w:val="20"/>
    </w:rPr>
  </w:style>
  <w:style w:type="paragraph" w:customStyle="1" w:styleId="158">
    <w:name w:val="Char Char"/>
    <w:basedOn w:val="1"/>
    <w:qFormat/>
    <w:uiPriority w:val="0"/>
    <w:rPr>
      <w:rFonts w:ascii="Tahoma" w:hAnsi="Tahoma"/>
      <w:sz w:val="24"/>
      <w:szCs w:val="20"/>
    </w:rPr>
  </w:style>
  <w:style w:type="paragraph" w:customStyle="1" w:styleId="15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60">
    <w:name w:val="Char Char Char"/>
    <w:basedOn w:val="1"/>
    <w:qFormat/>
    <w:uiPriority w:val="0"/>
    <w:rPr>
      <w:rFonts w:ascii="Tahoma" w:hAnsi="Tahoma"/>
      <w:sz w:val="24"/>
      <w:szCs w:val="20"/>
    </w:rPr>
  </w:style>
  <w:style w:type="paragraph" w:customStyle="1" w:styleId="161">
    <w:name w:val="Char Char Char Char Char"/>
    <w:basedOn w:val="1"/>
    <w:qFormat/>
    <w:uiPriority w:val="0"/>
    <w:rPr>
      <w:rFonts w:ascii="Tahoma" w:hAnsi="Tahoma"/>
      <w:sz w:val="24"/>
      <w:szCs w:val="20"/>
    </w:rPr>
  </w:style>
  <w:style w:type="paragraph" w:customStyle="1" w:styleId="162">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163">
    <w:name w:val="USE 1"/>
    <w:basedOn w:val="1"/>
    <w:qFormat/>
    <w:uiPriority w:val="0"/>
    <w:pPr>
      <w:spacing w:line="200" w:lineRule="atLeast"/>
      <w:jc w:val="left"/>
    </w:pPr>
    <w:rPr>
      <w:rFonts w:ascii="宋体" w:hAnsi="宋体"/>
      <w:b/>
      <w:sz w:val="24"/>
      <w:szCs w:val="28"/>
    </w:rPr>
  </w:style>
  <w:style w:type="paragraph" w:customStyle="1" w:styleId="164">
    <w:name w:val="--编号内缩进"/>
    <w:basedOn w:val="1"/>
    <w:qFormat/>
    <w:uiPriority w:val="0"/>
    <w:pPr>
      <w:spacing w:line="360" w:lineRule="auto"/>
      <w:ind w:left="420" w:firstLine="200" w:firstLineChars="200"/>
    </w:pPr>
    <w:rPr>
      <w:rFonts w:ascii="Times New Roman" w:hAnsi="Times New Roman"/>
      <w:szCs w:val="21"/>
    </w:rPr>
  </w:style>
  <w:style w:type="paragraph" w:customStyle="1" w:styleId="165">
    <w:name w:val="图"/>
    <w:basedOn w:val="1"/>
    <w:qFormat/>
    <w:uiPriority w:val="99"/>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166">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167">
    <w:name w:val="6"/>
    <w:basedOn w:val="141"/>
    <w:qFormat/>
    <w:uiPriority w:val="0"/>
    <w:pPr>
      <w:spacing w:line="270" w:lineRule="atLeast"/>
      <w:jc w:val="both"/>
    </w:pPr>
    <w:rPr>
      <w:b w:val="0"/>
      <w:bCs w:val="0"/>
    </w:rPr>
  </w:style>
  <w:style w:type="paragraph" w:customStyle="1" w:styleId="16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0">
    <w:name w:val="--规划-表格-居左"/>
    <w:basedOn w:val="129"/>
    <w:qFormat/>
    <w:uiPriority w:val="0"/>
    <w:pPr>
      <w:spacing w:line="240" w:lineRule="auto"/>
      <w:ind w:firstLine="0" w:firstLineChars="0"/>
    </w:pPr>
    <w:rPr>
      <w:sz w:val="20"/>
    </w:rPr>
  </w:style>
  <w:style w:type="paragraph" w:customStyle="1" w:styleId="17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2">
    <w:name w:val="方案要点"/>
    <w:basedOn w:val="1"/>
    <w:qFormat/>
    <w:uiPriority w:val="0"/>
    <w:pPr>
      <w:tabs>
        <w:tab w:val="left" w:pos="420"/>
      </w:tabs>
      <w:spacing w:line="360" w:lineRule="auto"/>
      <w:ind w:left="420" w:hanging="420"/>
    </w:pPr>
    <w:rPr>
      <w:rFonts w:ascii="仿宋_GB2312" w:hAnsi="宋体" w:eastAsia="仿宋_GB2312"/>
      <w:color w:val="000000"/>
      <w:sz w:val="28"/>
      <w:szCs w:val="28"/>
    </w:rPr>
  </w:style>
  <w:style w:type="paragraph" w:customStyle="1" w:styleId="173">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74">
    <w:name w:val="Char1"/>
    <w:basedOn w:val="1"/>
    <w:qFormat/>
    <w:uiPriority w:val="0"/>
    <w:pPr>
      <w:jc w:val="left"/>
    </w:pPr>
    <w:rPr>
      <w:rFonts w:ascii="Tahoma" w:hAnsi="Tahoma"/>
      <w:sz w:val="24"/>
      <w:szCs w:val="20"/>
    </w:rPr>
  </w:style>
  <w:style w:type="paragraph" w:customStyle="1" w:styleId="17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7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77">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78">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180">
    <w:name w:val="z-窗体顶端 Char1"/>
    <w:basedOn w:val="44"/>
    <w:link w:val="70"/>
    <w:semiHidden/>
    <w:qFormat/>
    <w:uiPriority w:val="99"/>
    <w:rPr>
      <w:rFonts w:ascii="Arial" w:hAnsi="Arial" w:eastAsia="宋体" w:cs="Arial"/>
      <w:vanish/>
      <w:sz w:val="16"/>
      <w:szCs w:val="16"/>
    </w:rPr>
  </w:style>
  <w:style w:type="paragraph" w:customStyle="1" w:styleId="18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8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85">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8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7">
    <w:name w:val="--规划-题注"/>
    <w:basedOn w:val="1"/>
    <w:next w:val="129"/>
    <w:qFormat/>
    <w:uiPriority w:val="0"/>
    <w:pPr>
      <w:spacing w:line="360" w:lineRule="auto"/>
      <w:jc w:val="center"/>
    </w:pPr>
    <w:rPr>
      <w:rFonts w:ascii="Times New Roman" w:hAnsi="Times New Roman" w:eastAsia="黑体"/>
      <w:szCs w:val="24"/>
    </w:rPr>
  </w:style>
  <w:style w:type="paragraph" w:customStyle="1" w:styleId="188">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89">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90">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91">
    <w:name w:val="样式3"/>
    <w:basedOn w:val="4"/>
    <w:qFormat/>
    <w:uiPriority w:val="0"/>
    <w:pPr>
      <w:tabs>
        <w:tab w:val="left" w:pos="420"/>
      </w:tabs>
      <w:spacing w:before="240" w:after="240" w:line="480" w:lineRule="auto"/>
      <w:ind w:left="420" w:right="210" w:rightChars="100" w:hanging="420"/>
      <w:jc w:val="left"/>
    </w:pPr>
    <w:rPr>
      <w:rFonts w:ascii="Times New Roman" w:hAnsi="Times New Roman"/>
      <w:sz w:val="32"/>
    </w:rPr>
  </w:style>
  <w:style w:type="paragraph" w:customStyle="1" w:styleId="1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9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94">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95">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9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97">
    <w:name w:val="8"/>
    <w:basedOn w:val="1"/>
    <w:next w:val="20"/>
    <w:qFormat/>
    <w:uiPriority w:val="0"/>
    <w:pPr>
      <w:spacing w:after="120"/>
      <w:ind w:left="420" w:leftChars="200"/>
    </w:pPr>
    <w:rPr>
      <w:rFonts w:ascii="Times New Roman" w:hAnsi="Times New Roman"/>
      <w:szCs w:val="24"/>
    </w:rPr>
  </w:style>
  <w:style w:type="paragraph" w:customStyle="1" w:styleId="198">
    <w:name w:val="姜文清定义的正文"/>
    <w:basedOn w:val="1"/>
    <w:qFormat/>
    <w:uiPriority w:val="0"/>
    <w:pPr>
      <w:spacing w:line="240" w:lineRule="atLeast"/>
      <w:ind w:firstLine="567"/>
    </w:pPr>
    <w:rPr>
      <w:rFonts w:ascii="Times New Roman" w:hAnsi="Times New Roman"/>
      <w:szCs w:val="20"/>
    </w:rPr>
  </w:style>
  <w:style w:type="paragraph" w:customStyle="1" w:styleId="199">
    <w:name w:val="CM2"/>
    <w:basedOn w:val="179"/>
    <w:next w:val="179"/>
    <w:qFormat/>
    <w:uiPriority w:val="0"/>
    <w:pPr>
      <w:spacing w:line="200" w:lineRule="atLeast"/>
    </w:pPr>
    <w:rPr>
      <w:rFonts w:ascii="Arial" w:hAnsi="Arial" w:eastAsia="宋体" w:cs="Times New Roman"/>
      <w:color w:val="auto"/>
    </w:rPr>
  </w:style>
  <w:style w:type="character" w:customStyle="1" w:styleId="200">
    <w:name w:val="z-窗体底端 Char1"/>
    <w:basedOn w:val="44"/>
    <w:link w:val="87"/>
    <w:semiHidden/>
    <w:qFormat/>
    <w:uiPriority w:val="99"/>
    <w:rPr>
      <w:rFonts w:ascii="Arial" w:hAnsi="Arial" w:eastAsia="宋体" w:cs="Arial"/>
      <w:vanish/>
      <w:sz w:val="16"/>
      <w:szCs w:val="16"/>
    </w:rPr>
  </w:style>
  <w:style w:type="paragraph" w:customStyle="1" w:styleId="20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02">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4">
    <w:name w:val="表格字"/>
    <w:basedOn w:val="1"/>
    <w:qFormat/>
    <w:uiPriority w:val="0"/>
    <w:pPr>
      <w:adjustRightInd w:val="0"/>
      <w:jc w:val="center"/>
    </w:pPr>
    <w:rPr>
      <w:rFonts w:ascii="宋体" w:hAnsi="Times New Roman"/>
      <w:sz w:val="24"/>
      <w:szCs w:val="20"/>
    </w:rPr>
  </w:style>
  <w:style w:type="paragraph" w:customStyle="1" w:styleId="20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6">
    <w:name w:val="评价"/>
    <w:basedOn w:val="1"/>
    <w:qFormat/>
    <w:uiPriority w:val="0"/>
    <w:pPr>
      <w:spacing w:afterLines="20"/>
      <w:ind w:firstLine="1446" w:firstLineChars="200"/>
    </w:pPr>
    <w:rPr>
      <w:sz w:val="24"/>
      <w:szCs w:val="24"/>
    </w:rPr>
  </w:style>
  <w:style w:type="paragraph" w:customStyle="1" w:styleId="20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8">
    <w:name w:val="正文(缩进) 五号"/>
    <w:basedOn w:val="1"/>
    <w:qFormat/>
    <w:uiPriority w:val="0"/>
    <w:pPr>
      <w:widowControl/>
      <w:spacing w:after="120" w:line="360" w:lineRule="auto"/>
      <w:ind w:firstLine="420" w:firstLineChars="200"/>
      <w:jc w:val="left"/>
    </w:pPr>
    <w:rPr>
      <w:rFonts w:ascii="Arial" w:hAnsi="Arial" w:cs="宋体"/>
      <w:kern w:val="0"/>
      <w:szCs w:val="20"/>
    </w:rPr>
  </w:style>
  <w:style w:type="paragraph" w:customStyle="1" w:styleId="209">
    <w:name w:val="封面标题"/>
    <w:basedOn w:val="1"/>
    <w:qFormat/>
    <w:uiPriority w:val="0"/>
    <w:pPr>
      <w:spacing w:line="360" w:lineRule="auto"/>
      <w:jc w:val="center"/>
    </w:pPr>
    <w:rPr>
      <w:rFonts w:ascii="Times New Roman" w:hAnsi="Times New Roman" w:eastAsia="黑体"/>
      <w:sz w:val="48"/>
      <w:szCs w:val="20"/>
    </w:rPr>
  </w:style>
  <w:style w:type="paragraph" w:customStyle="1" w:styleId="210">
    <w:name w:val="列出段落2"/>
    <w:basedOn w:val="1"/>
    <w:qFormat/>
    <w:uiPriority w:val="0"/>
    <w:pPr>
      <w:ind w:firstLine="420" w:firstLineChars="200"/>
    </w:pPr>
    <w:rPr>
      <w:szCs w:val="20"/>
    </w:rPr>
  </w:style>
  <w:style w:type="character" w:customStyle="1" w:styleId="211">
    <w:name w:val="font31"/>
    <w:basedOn w:val="44"/>
    <w:qFormat/>
    <w:uiPriority w:val="0"/>
    <w:rPr>
      <w:rFonts w:hint="default" w:ascii="Times New Roman" w:hAnsi="Times New Roman" w:cs="Times New Roman"/>
      <w:color w:val="000000"/>
      <w:sz w:val="21"/>
      <w:szCs w:val="21"/>
      <w:u w:val="none"/>
    </w:rPr>
  </w:style>
  <w:style w:type="character" w:customStyle="1" w:styleId="212">
    <w:name w:val="正文缩进 Char1"/>
    <w:qFormat/>
    <w:uiPriority w:val="0"/>
    <w:rPr>
      <w:rFonts w:eastAsia="宋体"/>
      <w:kern w:val="2"/>
      <w:sz w:val="21"/>
      <w:lang w:val="en-US" w:eastAsia="zh-CN" w:bidi="ar-SA"/>
    </w:rPr>
  </w:style>
  <w:style w:type="character" w:customStyle="1" w:styleId="213">
    <w:name w:val="列表段落 字符"/>
    <w:link w:val="140"/>
    <w:qFormat/>
    <w:uiPriority w:val="0"/>
    <w:rPr>
      <w:rFonts w:ascii="Calibri" w:hAnsi="Calibri" w:eastAsia="宋体" w:cs="Calibri"/>
      <w:szCs w:val="21"/>
    </w:rPr>
  </w:style>
  <w:style w:type="paragraph" w:customStyle="1" w:styleId="214">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szCs w:val="24"/>
    </w:rPr>
  </w:style>
  <w:style w:type="paragraph" w:customStyle="1" w:styleId="215">
    <w:name w:val=".正文"/>
    <w:basedOn w:val="1"/>
    <w:qFormat/>
    <w:uiPriority w:val="0"/>
    <w:pPr>
      <w:spacing w:beforeLines="50"/>
      <w:ind w:firstLine="200" w:firstLineChars="200"/>
    </w:pPr>
    <w:rPr>
      <w:rFonts w:eastAsia="华文仿宋"/>
    </w:rPr>
  </w:style>
  <w:style w:type="paragraph" w:customStyle="1" w:styleId="216">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217">
    <w:name w:val="Table Text"/>
    <w:basedOn w:val="1"/>
    <w:semiHidden/>
    <w:qFormat/>
    <w:uiPriority w:val="0"/>
    <w:rPr>
      <w:rFonts w:ascii="微软雅黑" w:hAnsi="微软雅黑" w:eastAsia="微软雅黑" w:cs="微软雅黑"/>
      <w:sz w:val="24"/>
      <w:szCs w:val="24"/>
      <w:lang w:eastAsia="en-US"/>
    </w:rPr>
  </w:style>
  <w:style w:type="table" w:customStyle="1" w:styleId="218">
    <w:name w:val="Table Normal"/>
    <w:semiHidden/>
    <w:unhideWhenUsed/>
    <w:qFormat/>
    <w:uiPriority w:val="0"/>
    <w:tblPr>
      <w:tblCellMar>
        <w:top w:w="0" w:type="dxa"/>
        <w:left w:w="0" w:type="dxa"/>
        <w:bottom w:w="0" w:type="dxa"/>
        <w:right w:w="0" w:type="dxa"/>
      </w:tblCellMar>
    </w:tblPr>
  </w:style>
  <w:style w:type="table" w:customStyle="1" w:styleId="219">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0">
    <w:name w:val="样式 首行缩进:  2 字符"/>
    <w:basedOn w:val="1"/>
    <w:autoRedefine/>
    <w:qFormat/>
    <w:uiPriority w:val="0"/>
    <w:pPr>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5D09E-FF95-4B47-9347-2CE767DBE617}">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95</Pages>
  <Words>1683</Words>
  <Characters>1709</Characters>
  <Lines>529</Lines>
  <Paragraphs>149</Paragraphs>
  <TotalTime>2</TotalTime>
  <ScaleCrop>false</ScaleCrop>
  <LinksUpToDate>false</LinksUpToDate>
  <CharactersWithSpaces>1726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2020-09-24T06:11:00Z</dcterms:created>
  <dc:creator>Administrator</dc:creator>
  <cp:lastModifiedBy>中正-李工</cp:lastModifiedBy>
  <cp:lastPrinted>2019-10-21T08:50:00Z</cp:lastPrinted>
  <dcterms:modified xsi:type="dcterms:W3CDTF">2025-09-18T07:21:42Z</dcterms:modified>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9BF0787322D74AA6B720B0E510CF0198</vt:lpwstr>
  </property>
  <property fmtid="{D5CDD505-2E9C-101B-9397-08002B2CF9AE}" pid="4" name="KSOTemplateDocerSaveRecord">
    <vt:lpwstr>eyJoZGlkIjoiMzNiN2JjZGQwODQzNTVmMDg4ZGNmNzRhYmJlZDY2YTUiLCJ1c2VySWQiOiI0NjMwNjU1NzcifQ==</vt:lpwstr>
  </property>
</Properties>
</file>